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08EB993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86767">
        <w:rPr>
          <w:rFonts w:asciiTheme="majorHAnsi" w:eastAsia="Times New Roman" w:hAnsiTheme="majorHAnsi" w:cs="Times New Roman"/>
          <w:lang w:eastAsia="cs-CZ"/>
        </w:rPr>
        <w:t>3</w:t>
      </w:r>
      <w:r w:rsidR="00986767"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6D69D4AD" w14:textId="77777777" w:rsidR="007756D6" w:rsidRDefault="007756D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2160746D" w:rsidR="005740C3" w:rsidRDefault="005740C3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5062F4">
        <w:rPr>
          <w:rFonts w:eastAsia="Times New Roman" w:cs="Times New Roman"/>
          <w:b/>
          <w:highlight w:val="yellow"/>
          <w:lang w:eastAsia="cs-CZ"/>
        </w:rPr>
        <w:t>Objednatele: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6F0FEDA9" w14:textId="35889A1E" w:rsidR="005740C3" w:rsidRDefault="005062F4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green"/>
          <w:lang w:eastAsia="cs-CZ"/>
        </w:rPr>
        <w:t>Číslo smlouvy Zhotovitele:</w:t>
      </w:r>
      <w:r w:rsidR="005740C3" w:rsidRPr="009B4030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1CDD4F8B" w14:textId="77777777" w:rsidR="005740C3" w:rsidRPr="005740C3" w:rsidRDefault="005740C3" w:rsidP="00981113">
      <w:pPr>
        <w:spacing w:before="120" w:after="0"/>
        <w:rPr>
          <w:highlight w:val="yellow"/>
        </w:rPr>
      </w:pPr>
    </w:p>
    <w:p w14:paraId="55A13EF4" w14:textId="791CC916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2586 a násl. zákona č.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89/2012 Sb., občanský zákoník, ve znění pozdějších předpisů (dále jen „</w:t>
      </w:r>
      <w:r w:rsidRPr="0075551F">
        <w:rPr>
          <w:rFonts w:eastAsia="Times New Roman" w:cs="Times New Roman"/>
          <w:b/>
          <w:bCs/>
          <w:lang w:eastAsia="cs-CZ"/>
        </w:rPr>
        <w:t>Občanský zákoník</w:t>
      </w:r>
      <w:r w:rsidRPr="004E1498">
        <w:rPr>
          <w:rFonts w:eastAsia="Times New Roman" w:cs="Times New Roman"/>
          <w:lang w:eastAsia="cs-CZ"/>
        </w:rPr>
        <w:t>“)</w:t>
      </w:r>
    </w:p>
    <w:p w14:paraId="5EB0F392" w14:textId="208FED94" w:rsidR="00063DDA" w:rsidRPr="00981113" w:rsidRDefault="00063DDA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b/>
        </w:rPr>
      </w:pPr>
    </w:p>
    <w:p w14:paraId="5D814A13" w14:textId="548D4AD0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FDBD32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326676">
        <w:rPr>
          <w:rFonts w:eastAsia="Times New Roman" w:cs="Times New Roman"/>
          <w:lang w:eastAsia="cs-CZ"/>
        </w:rPr>
        <w:t xml:space="preserve">sídlem </w:t>
      </w:r>
      <w:r w:rsidRPr="004E1498">
        <w:rPr>
          <w:rFonts w:eastAsia="Times New Roman" w:cs="Times New Roman"/>
          <w:lang w:eastAsia="cs-CZ"/>
        </w:rPr>
        <w:t>Praha 1 - Nové Město, Dlážděná 1003/7, PSČ 110 00</w:t>
      </w:r>
    </w:p>
    <w:p w14:paraId="482B2557" w14:textId="7777777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561D64B" w:rsid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8A2E6F">
        <w:rPr>
          <w:rFonts w:eastAsia="Times New Roman" w:cs="Times New Roman"/>
          <w:lang w:eastAsia="cs-CZ"/>
        </w:rPr>
        <w:t xml:space="preserve">zastoupená </w:t>
      </w:r>
      <w:r w:rsidR="00986767">
        <w:rPr>
          <w:rFonts w:eastAsia="Times New Roman" w:cs="Times New Roman"/>
          <w:lang w:eastAsia="cs-CZ"/>
        </w:rPr>
        <w:t>Ing. Alešem Krejčím, náměstkem GŘ pro ekonomiku</w:t>
      </w:r>
    </w:p>
    <w:p w14:paraId="0BAB2DFB" w14:textId="539CA30D" w:rsid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</w:p>
    <w:p w14:paraId="3B2800F1" w14:textId="77777777" w:rsidR="00063DDA" w:rsidRDefault="00063DDA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981113">
      <w:pPr>
        <w:overflowPunct w:val="0"/>
        <w:autoSpaceDE w:val="0"/>
        <w:autoSpaceDN w:val="0"/>
        <w:adjustRightInd w:val="0"/>
        <w:spacing w:before="120" w:after="0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B7BE634" w14:textId="77777777" w:rsidR="005062F4" w:rsidRDefault="005062F4" w:rsidP="00981113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eastAsia="Times New Roman" w:cs="Times New Roman"/>
          <w:lang w:eastAsia="cs-CZ"/>
        </w:rPr>
      </w:pPr>
    </w:p>
    <w:p w14:paraId="13E50EC0" w14:textId="77777777" w:rsidR="005062F4" w:rsidRDefault="005062F4" w:rsidP="00981113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eastAsia="Times New Roman" w:cs="Times New Roman"/>
          <w:lang w:eastAsia="cs-CZ"/>
        </w:rPr>
      </w:pPr>
    </w:p>
    <w:p w14:paraId="11E6F3FE" w14:textId="6AEC9600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 řízení veřejné zakázky s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 xml:space="preserve">názvem </w:t>
      </w:r>
      <w:r w:rsidR="00986767">
        <w:rPr>
          <w:rFonts w:eastAsia="Times New Roman" w:cs="Times New Roman"/>
          <w:lang w:eastAsia="cs-CZ"/>
        </w:rPr>
        <w:t>„</w:t>
      </w:r>
      <w:r w:rsidR="00986767" w:rsidRPr="00986767">
        <w:rPr>
          <w:rFonts w:eastAsia="Times New Roman" w:cs="Times New Roman"/>
          <w:b/>
          <w:lang w:eastAsia="cs-CZ"/>
        </w:rPr>
        <w:t>Znalecký posudek na ocenění výše nájemného a výše úhrad za zřízení služebností pro veřejnou komunikační síť</w:t>
      </w:r>
      <w:r w:rsidR="00986767">
        <w:rPr>
          <w:rFonts w:eastAsia="Times New Roman" w:cs="Times New Roman"/>
          <w:lang w:eastAsia="cs-CZ"/>
        </w:rPr>
        <w:t>“</w:t>
      </w:r>
      <w:r w:rsidRPr="007D44B9">
        <w:rPr>
          <w:rFonts w:eastAsia="Times New Roman" w:cs="Times New Roman"/>
          <w:lang w:eastAsia="cs-CZ"/>
        </w:rPr>
        <w:t xml:space="preserve">, </w:t>
      </w:r>
      <w:r w:rsidR="000D278B" w:rsidRPr="007D44B9">
        <w:rPr>
          <w:rFonts w:eastAsia="Times New Roman" w:cs="Times New Roman"/>
          <w:lang w:eastAsia="cs-CZ"/>
        </w:rPr>
        <w:t>č.</w:t>
      </w:r>
      <w:r w:rsidR="007756D6">
        <w:rPr>
          <w:rFonts w:eastAsia="Times New Roman" w:cs="Times New Roman"/>
          <w:lang w:eastAsia="cs-CZ"/>
        </w:rPr>
        <w:t> </w:t>
      </w:r>
      <w:r w:rsidR="000D278B" w:rsidRPr="007D44B9">
        <w:rPr>
          <w:rFonts w:eastAsia="Times New Roman" w:cs="Times New Roman"/>
          <w:lang w:eastAsia="cs-CZ"/>
        </w:rPr>
        <w:t xml:space="preserve">j. veřejné </w:t>
      </w:r>
      <w:r w:rsidR="000D278B" w:rsidRPr="00C71609">
        <w:rPr>
          <w:rFonts w:eastAsia="Times New Roman" w:cs="Times New Roman"/>
          <w:lang w:eastAsia="cs-CZ"/>
        </w:rPr>
        <w:t xml:space="preserve">zakázky </w:t>
      </w:r>
      <w:r w:rsidR="00986767">
        <w:rPr>
          <w:rFonts w:eastAsia="Times New Roman" w:cs="Times New Roman"/>
          <w:lang w:eastAsia="cs-CZ"/>
        </w:rPr>
        <w:t>165326</w:t>
      </w:r>
      <w:r w:rsidR="007D44B9" w:rsidRPr="00C71609">
        <w:rPr>
          <w:rFonts w:eastAsia="Times New Roman" w:cs="Times New Roman"/>
          <w:lang w:eastAsia="cs-CZ"/>
        </w:rPr>
        <w:t>/2021-SŽ-GŘ-O8</w:t>
      </w:r>
      <w:r w:rsidR="005740C3" w:rsidRPr="007D44B9">
        <w:rPr>
          <w:rFonts w:eastAsia="Times New Roman" w:cs="Times New Roman"/>
          <w:lang w:eastAsia="cs-CZ"/>
        </w:rPr>
        <w:t xml:space="preserve"> </w:t>
      </w:r>
      <w:r w:rsidRPr="007D44B9">
        <w:rPr>
          <w:rFonts w:eastAsia="Times New Roman" w:cs="Times New Roman"/>
          <w:lang w:eastAsia="cs-CZ"/>
        </w:rPr>
        <w:t>(dále jen „</w:t>
      </w:r>
      <w:r w:rsidRPr="007756D6">
        <w:rPr>
          <w:rFonts w:eastAsia="Times New Roman" w:cs="Times New Roman"/>
          <w:b/>
          <w:bCs/>
          <w:lang w:eastAsia="cs-CZ"/>
        </w:rPr>
        <w:t>veřejná zakázka</w:t>
      </w:r>
      <w:r w:rsidR="006566F7" w:rsidRPr="007D44B9">
        <w:rPr>
          <w:rFonts w:eastAsia="Times New Roman" w:cs="Times New Roman"/>
          <w:lang w:eastAsia="cs-CZ"/>
        </w:rPr>
        <w:t xml:space="preserve">“). Jednotlivá ustanovení této </w:t>
      </w:r>
      <w:r w:rsidR="00382AE7">
        <w:rPr>
          <w:rFonts w:eastAsia="Times New Roman" w:cs="Times New Roman"/>
          <w:lang w:eastAsia="cs-CZ"/>
        </w:rPr>
        <w:t>s</w:t>
      </w:r>
      <w:r w:rsidRPr="007D44B9">
        <w:rPr>
          <w:rFonts w:eastAsia="Times New Roman" w:cs="Times New Roman"/>
          <w:lang w:eastAsia="cs-CZ"/>
        </w:rPr>
        <w:t>mlouvy tak budou vykládána</w:t>
      </w:r>
      <w:r w:rsidRPr="004E1498">
        <w:rPr>
          <w:rFonts w:eastAsia="Times New Roman" w:cs="Times New Roman"/>
          <w:lang w:eastAsia="cs-CZ"/>
        </w:rPr>
        <w:t xml:space="preserve"> v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souladu se zadávacími podmínkami veřejné zakázky.</w:t>
      </w:r>
    </w:p>
    <w:p w14:paraId="642B196F" w14:textId="4F0B7D35" w:rsidR="004E1498" w:rsidRPr="00950C1F" w:rsidRDefault="007756D6" w:rsidP="00592757">
      <w:pPr>
        <w:pStyle w:val="Nadpis1"/>
      </w:pPr>
      <w:r>
        <w:t>Předmět smlouvy</w:t>
      </w:r>
    </w:p>
    <w:p w14:paraId="75B8D031" w14:textId="48CD6288" w:rsidR="004E1498" w:rsidRDefault="004E1498" w:rsidP="00981113">
      <w:pPr>
        <w:pStyle w:val="Nadpis2"/>
        <w:spacing w:before="120" w:line="264" w:lineRule="auto"/>
        <w:ind w:left="578" w:hanging="578"/>
        <w:contextualSpacing w:val="0"/>
      </w:pPr>
      <w:r w:rsidRPr="00950C1F">
        <w:t>Zhotovitel</w:t>
      </w:r>
      <w:r w:rsidRPr="004E1498">
        <w:t xml:space="preserve"> se zavazuje provést na svůj náklad a nebezpečí pro Objednatele </w:t>
      </w:r>
      <w:r w:rsidR="007756D6">
        <w:t>d</w:t>
      </w:r>
      <w:r w:rsidRPr="004E1498">
        <w:t>ílo</w:t>
      </w:r>
      <w:r w:rsidR="007756D6">
        <w:t xml:space="preserve"> (dále jen „</w:t>
      </w:r>
      <w:r w:rsidR="007756D6" w:rsidRPr="007756D6">
        <w:rPr>
          <w:b/>
          <w:bCs/>
        </w:rPr>
        <w:t>Dílo</w:t>
      </w:r>
      <w:r w:rsidR="007756D6">
        <w:t>“)</w:t>
      </w:r>
      <w:r w:rsidRPr="004E1498">
        <w:t>.</w:t>
      </w:r>
      <w:r w:rsidR="00A363AA">
        <w:t xml:space="preserve"> Objednatel se </w:t>
      </w:r>
      <w:r w:rsidR="005159F1">
        <w:t xml:space="preserve">zavazuje </w:t>
      </w:r>
      <w:r w:rsidR="00A363AA">
        <w:t xml:space="preserve">Dílo převzít a zaplatit </w:t>
      </w:r>
      <w:r w:rsidR="00DD18A5">
        <w:t xml:space="preserve">Zhotoviteli </w:t>
      </w:r>
      <w:r w:rsidR="00A363AA">
        <w:t>cenu</w:t>
      </w:r>
      <w:r w:rsidR="001D712D">
        <w:t xml:space="preserve"> dle této smlouvy</w:t>
      </w:r>
      <w:r w:rsidR="00A363AA">
        <w:t>.</w:t>
      </w:r>
    </w:p>
    <w:p w14:paraId="4E17D918" w14:textId="0AA96716" w:rsidR="004E1498" w:rsidRPr="004E1498" w:rsidRDefault="002E47B9" w:rsidP="00592757">
      <w:pPr>
        <w:pStyle w:val="Nadpis1"/>
        <w:rPr>
          <w:rFonts w:eastAsia="Times New Roman"/>
          <w:lang w:eastAsia="cs-CZ"/>
        </w:rPr>
      </w:pPr>
      <w:r w:rsidDel="002E47B9">
        <w:t xml:space="preserve"> </w:t>
      </w:r>
      <w:r w:rsidR="004E1498" w:rsidRPr="004E1498">
        <w:rPr>
          <w:rFonts w:eastAsia="Times New Roman"/>
          <w:lang w:eastAsia="cs-CZ"/>
        </w:rPr>
        <w:t xml:space="preserve">Předmět </w:t>
      </w:r>
      <w:r w:rsidR="00BC6B43">
        <w:rPr>
          <w:rFonts w:eastAsia="Times New Roman"/>
          <w:lang w:eastAsia="cs-CZ"/>
        </w:rPr>
        <w:t>D</w:t>
      </w:r>
      <w:r w:rsidR="004E1498" w:rsidRPr="004E1498">
        <w:rPr>
          <w:rFonts w:eastAsia="Times New Roman"/>
          <w:lang w:eastAsia="cs-CZ"/>
        </w:rPr>
        <w:t>íla</w:t>
      </w:r>
    </w:p>
    <w:p w14:paraId="33237856" w14:textId="0019A8EB" w:rsidR="003D7991" w:rsidRDefault="003D7991" w:rsidP="001D5765">
      <w:pPr>
        <w:pStyle w:val="Nadpis2"/>
        <w:spacing w:before="120" w:line="264" w:lineRule="auto"/>
        <w:ind w:left="567"/>
        <w:contextualSpacing w:val="0"/>
      </w:pPr>
      <w:bookmarkStart w:id="0" w:name="_Ref75956867"/>
      <w:bookmarkStart w:id="1" w:name="_Ref70635522"/>
      <w:r w:rsidRPr="003D7991">
        <w:rPr>
          <w:bCs/>
        </w:rPr>
        <w:t xml:space="preserve">Předmětem </w:t>
      </w:r>
      <w:r w:rsidR="001D712D">
        <w:rPr>
          <w:bCs/>
        </w:rPr>
        <w:t>D</w:t>
      </w:r>
      <w:r w:rsidR="001D712D" w:rsidRPr="003D7991">
        <w:rPr>
          <w:bCs/>
        </w:rPr>
        <w:t>íla</w:t>
      </w:r>
      <w:r w:rsidR="001D712D" w:rsidRPr="003D7991">
        <w:t xml:space="preserve"> </w:t>
      </w:r>
      <w:r w:rsidRPr="003D7991">
        <w:t xml:space="preserve">je vypracování </w:t>
      </w:r>
      <w:r w:rsidR="002E47B9" w:rsidRPr="003D7991">
        <w:t>znaleck</w:t>
      </w:r>
      <w:r w:rsidR="002E47B9">
        <w:t>ého</w:t>
      </w:r>
      <w:r w:rsidR="002E47B9" w:rsidRPr="003D7991">
        <w:t xml:space="preserve"> posudk</w:t>
      </w:r>
      <w:r w:rsidR="002E47B9">
        <w:t>u</w:t>
      </w:r>
      <w:r w:rsidRPr="003D7991">
        <w:t xml:space="preserve"> </w:t>
      </w:r>
      <w:r w:rsidR="002E47B9">
        <w:t>určujícího</w:t>
      </w:r>
      <w:r w:rsidR="002E47B9" w:rsidRPr="003D7991">
        <w:t xml:space="preserve"> </w:t>
      </w:r>
      <w:r w:rsidRPr="003D7991">
        <w:t>výši:</w:t>
      </w:r>
      <w:bookmarkEnd w:id="0"/>
    </w:p>
    <w:p w14:paraId="0A3023B5" w14:textId="5632CEF5" w:rsidR="001D712D" w:rsidRDefault="003D7991" w:rsidP="00327270">
      <w:pPr>
        <w:pStyle w:val="Nadpis2"/>
        <w:numPr>
          <w:ilvl w:val="0"/>
          <w:numId w:val="42"/>
        </w:numPr>
        <w:spacing w:before="120" w:line="264" w:lineRule="auto"/>
        <w:ind w:left="1134"/>
        <w:contextualSpacing w:val="0"/>
        <w:rPr>
          <w:bCs/>
        </w:rPr>
      </w:pPr>
      <w:r>
        <w:rPr>
          <w:bCs/>
        </w:rPr>
        <w:lastRenderedPageBreak/>
        <w:t xml:space="preserve">ceny </w:t>
      </w:r>
      <w:r w:rsidR="001D712D">
        <w:rPr>
          <w:bCs/>
        </w:rPr>
        <w:t>za nájem a</w:t>
      </w:r>
    </w:p>
    <w:p w14:paraId="78ED73C2" w14:textId="575D1C2C" w:rsidR="001D712D" w:rsidRDefault="001D712D" w:rsidP="00327270">
      <w:pPr>
        <w:pStyle w:val="Nadpis2"/>
        <w:numPr>
          <w:ilvl w:val="0"/>
          <w:numId w:val="42"/>
        </w:numPr>
        <w:spacing w:before="120" w:line="264" w:lineRule="auto"/>
        <w:ind w:left="1134"/>
        <w:contextualSpacing w:val="0"/>
        <w:rPr>
          <w:bCs/>
        </w:rPr>
      </w:pPr>
      <w:r>
        <w:rPr>
          <w:bCs/>
        </w:rPr>
        <w:t>ceny za služebnosti.</w:t>
      </w:r>
    </w:p>
    <w:p w14:paraId="23563EE6" w14:textId="763A7B4C" w:rsidR="003D7991" w:rsidRDefault="003D7991" w:rsidP="00BA00AC">
      <w:pPr>
        <w:pStyle w:val="Nadpis2"/>
        <w:numPr>
          <w:ilvl w:val="0"/>
          <w:numId w:val="0"/>
        </w:numPr>
        <w:spacing w:before="120" w:line="264" w:lineRule="auto"/>
        <w:ind w:left="1134"/>
        <w:contextualSpacing w:val="0"/>
        <w:rPr>
          <w:bCs/>
        </w:rPr>
      </w:pPr>
    </w:p>
    <w:bookmarkEnd w:id="1"/>
    <w:p w14:paraId="554D3213" w14:textId="79514CD3" w:rsidR="00BF0272" w:rsidRDefault="00BF0272" w:rsidP="001D5765">
      <w:pPr>
        <w:pStyle w:val="Nadpis2"/>
        <w:spacing w:before="120" w:line="264" w:lineRule="auto"/>
        <w:ind w:left="567"/>
        <w:contextualSpacing w:val="0"/>
      </w:pPr>
      <w:r>
        <w:t xml:space="preserve">Příloha č. 1 této </w:t>
      </w:r>
      <w:r w:rsidR="005709A9">
        <w:t>smlouvy – Bližší</w:t>
      </w:r>
      <w:r>
        <w:t xml:space="preserve"> specifikace podrobněji popisuje </w:t>
      </w:r>
      <w:r w:rsidR="00892992">
        <w:t xml:space="preserve">zejména </w:t>
      </w:r>
      <w:r w:rsidR="00981113">
        <w:t>následující informace ve vztahu k </w:t>
      </w:r>
      <w:r>
        <w:t>j</w:t>
      </w:r>
      <w:r w:rsidR="0075551F">
        <w:t>ednotliv</w:t>
      </w:r>
      <w:r w:rsidR="00981113">
        <w:t>ým</w:t>
      </w:r>
      <w:r w:rsidR="0075551F">
        <w:t xml:space="preserve"> </w:t>
      </w:r>
      <w:r>
        <w:t>část</w:t>
      </w:r>
      <w:r w:rsidR="00981113">
        <w:t>em</w:t>
      </w:r>
      <w:r>
        <w:t xml:space="preserve"> Díla:</w:t>
      </w:r>
    </w:p>
    <w:p w14:paraId="0D86F47F" w14:textId="77777777" w:rsidR="00BF0272" w:rsidRDefault="00BF0272" w:rsidP="00BF0272">
      <w:pPr>
        <w:pStyle w:val="Nadpis2"/>
        <w:numPr>
          <w:ilvl w:val="0"/>
          <w:numId w:val="42"/>
        </w:numPr>
        <w:spacing w:before="120" w:line="264" w:lineRule="auto"/>
        <w:contextualSpacing w:val="0"/>
      </w:pPr>
      <w:r>
        <w:t>popis činností;</w:t>
      </w:r>
    </w:p>
    <w:p w14:paraId="0D5E6DB4" w14:textId="0DFF66E1" w:rsidR="00BF0272" w:rsidRDefault="0075551F" w:rsidP="00BF0272">
      <w:pPr>
        <w:pStyle w:val="Nadpis2"/>
        <w:numPr>
          <w:ilvl w:val="0"/>
          <w:numId w:val="42"/>
        </w:numPr>
        <w:spacing w:before="120" w:line="264" w:lineRule="auto"/>
        <w:contextualSpacing w:val="0"/>
      </w:pPr>
      <w:r>
        <w:t>n</w:t>
      </w:r>
      <w:r w:rsidR="002F321B">
        <w:t>emovitosti</w:t>
      </w:r>
      <w:r w:rsidR="00BA00AC">
        <w:t xml:space="preserve"> a technologie</w:t>
      </w:r>
      <w:r w:rsidR="002F321B">
        <w:t xml:space="preserve">, které jsou </w:t>
      </w:r>
      <w:r w:rsidR="00BA00AC">
        <w:t>podkladem pro ocenění skutečností uvedených v odst. 1 tohoto článku znaleckým posudkem</w:t>
      </w:r>
      <w:r w:rsidR="00B54BB9">
        <w:t>;</w:t>
      </w:r>
      <w:r w:rsidR="00BA00AC">
        <w:t xml:space="preserve"> a</w:t>
      </w:r>
      <w:r w:rsidR="002F321B">
        <w:t xml:space="preserve"> </w:t>
      </w:r>
    </w:p>
    <w:p w14:paraId="5B19921D" w14:textId="6DF720D8" w:rsidR="00BF0272" w:rsidRDefault="00BF0272" w:rsidP="00BF0272">
      <w:pPr>
        <w:pStyle w:val="Nadpis2"/>
        <w:numPr>
          <w:ilvl w:val="0"/>
          <w:numId w:val="42"/>
        </w:numPr>
        <w:spacing w:before="120" w:line="264" w:lineRule="auto"/>
        <w:contextualSpacing w:val="0"/>
      </w:pPr>
      <w:r>
        <w:t xml:space="preserve">informace požadované </w:t>
      </w:r>
      <w:r w:rsidR="002F321B">
        <w:t>v </w:t>
      </w:r>
      <w:r>
        <w:t>rámci znaleckého posudku</w:t>
      </w:r>
      <w:r w:rsidR="00BA00AC">
        <w:t>.</w:t>
      </w:r>
    </w:p>
    <w:p w14:paraId="5EB36CED" w14:textId="5FAC3698" w:rsidR="002F321B" w:rsidRDefault="002F321B" w:rsidP="001D5765">
      <w:pPr>
        <w:pStyle w:val="Nadpis2"/>
        <w:spacing w:before="120" w:line="264" w:lineRule="auto"/>
        <w:ind w:left="567"/>
        <w:contextualSpacing w:val="0"/>
      </w:pPr>
      <w:r>
        <w:t xml:space="preserve">Zhotovitel se zavazuje vypracovat a předat </w:t>
      </w:r>
      <w:r w:rsidR="002E47B9">
        <w:t xml:space="preserve">znalecký posudek </w:t>
      </w:r>
      <w:r>
        <w:t>v</w:t>
      </w:r>
      <w:r w:rsidR="0075551F">
        <w:t> </w:t>
      </w:r>
      <w:r>
        <w:t xml:space="preserve">souladu se </w:t>
      </w:r>
      <w:r w:rsidRPr="0075551F">
        <w:rPr>
          <w:i/>
          <w:iCs/>
        </w:rPr>
        <w:t>zákonem č.</w:t>
      </w:r>
      <w:r w:rsidR="0075551F" w:rsidRPr="0075551F">
        <w:rPr>
          <w:i/>
          <w:iCs/>
        </w:rPr>
        <w:t> </w:t>
      </w:r>
      <w:r w:rsidRPr="0075551F">
        <w:rPr>
          <w:i/>
          <w:iCs/>
        </w:rPr>
        <w:t>254/2019 Sb., o znalcích, znaleckých kancelářích a znaleckých ústavech</w:t>
      </w:r>
      <w:r>
        <w:t xml:space="preserve"> (dále jen jako „</w:t>
      </w:r>
      <w:r w:rsidRPr="0075551F">
        <w:rPr>
          <w:b/>
          <w:bCs/>
        </w:rPr>
        <w:t>ZZ</w:t>
      </w:r>
      <w:r>
        <w:t>“), a v</w:t>
      </w:r>
      <w:r w:rsidR="0075551F">
        <w:t> </w:t>
      </w:r>
      <w:r>
        <w:t>souladu s</w:t>
      </w:r>
      <w:r w:rsidR="0075551F">
        <w:t> </w:t>
      </w:r>
      <w:r w:rsidRPr="0075551F">
        <w:rPr>
          <w:i/>
          <w:iCs/>
        </w:rPr>
        <w:t>vyhláškou Ministerstva spravedlnosti č.</w:t>
      </w:r>
      <w:r w:rsidR="0075551F" w:rsidRPr="0075551F">
        <w:rPr>
          <w:i/>
          <w:iCs/>
        </w:rPr>
        <w:t> </w:t>
      </w:r>
      <w:r w:rsidRPr="0075551F">
        <w:rPr>
          <w:i/>
          <w:iCs/>
        </w:rPr>
        <w:t>503/2020 Sb., o výkonu znalecké činnosti</w:t>
      </w:r>
      <w:r>
        <w:t xml:space="preserve"> (dále jen jako „</w:t>
      </w:r>
      <w:r w:rsidRPr="0075551F">
        <w:rPr>
          <w:b/>
          <w:bCs/>
        </w:rPr>
        <w:t>Vyhláška</w:t>
      </w:r>
      <w:r>
        <w:t xml:space="preserve">“). </w:t>
      </w:r>
      <w:r w:rsidR="002E47B9">
        <w:t>Z</w:t>
      </w:r>
      <w:r>
        <w:t>nalecký posudek bude Objednatel</w:t>
      </w:r>
      <w:r w:rsidR="00EA308A">
        <w:t>i</w:t>
      </w:r>
      <w:r>
        <w:t xml:space="preserve"> předán</w:t>
      </w:r>
      <w:r w:rsidR="0075551F" w:rsidRPr="0075551F">
        <w:t xml:space="preserve"> </w:t>
      </w:r>
      <w:r w:rsidR="0075551F">
        <w:t>za podmínek § 27 odst. 2 ZZ a § 49 a § 50 Vyhlášky</w:t>
      </w:r>
      <w:r>
        <w:t>:</w:t>
      </w:r>
    </w:p>
    <w:p w14:paraId="2466A69A" w14:textId="0D93CB77" w:rsidR="002F321B" w:rsidRDefault="0075551F" w:rsidP="00327270">
      <w:pPr>
        <w:pStyle w:val="Odstavecseseznamem"/>
        <w:numPr>
          <w:ilvl w:val="0"/>
          <w:numId w:val="28"/>
        </w:numPr>
        <w:spacing w:before="120" w:after="0"/>
        <w:ind w:left="1134"/>
        <w:contextualSpacing w:val="0"/>
        <w:jc w:val="both"/>
        <w:rPr>
          <w:lang w:eastAsia="cs-CZ"/>
        </w:rPr>
      </w:pPr>
      <w:r>
        <w:rPr>
          <w:lang w:eastAsia="cs-CZ"/>
        </w:rPr>
        <w:t>v </w:t>
      </w:r>
      <w:r w:rsidR="002F321B">
        <w:rPr>
          <w:lang w:eastAsia="cs-CZ"/>
        </w:rPr>
        <w:t>elektronické podobě a</w:t>
      </w:r>
    </w:p>
    <w:p w14:paraId="11122802" w14:textId="51610F3F" w:rsidR="002F321B" w:rsidRDefault="005159F1" w:rsidP="00327270">
      <w:pPr>
        <w:pStyle w:val="Odstavecseseznamem"/>
        <w:numPr>
          <w:ilvl w:val="0"/>
          <w:numId w:val="28"/>
        </w:numPr>
        <w:spacing w:before="120" w:after="0"/>
        <w:ind w:left="1134"/>
        <w:contextualSpacing w:val="0"/>
        <w:jc w:val="both"/>
        <w:rPr>
          <w:lang w:eastAsia="cs-CZ"/>
        </w:rPr>
      </w:pPr>
      <w:r w:rsidRPr="00BA00AC">
        <w:rPr>
          <w:lang w:eastAsia="cs-CZ"/>
        </w:rPr>
        <w:t xml:space="preserve">v listinné podobě v počtu </w:t>
      </w:r>
      <w:r w:rsidR="00F47366">
        <w:rPr>
          <w:lang w:eastAsia="cs-CZ"/>
        </w:rPr>
        <w:t>3</w:t>
      </w:r>
      <w:r w:rsidR="00F47366" w:rsidRPr="00BA00AC">
        <w:rPr>
          <w:lang w:eastAsia="cs-CZ"/>
        </w:rPr>
        <w:t xml:space="preserve"> </w:t>
      </w:r>
      <w:r w:rsidR="002F321B" w:rsidRPr="00BA00AC">
        <w:rPr>
          <w:lang w:eastAsia="cs-CZ"/>
        </w:rPr>
        <w:t>výtisků</w:t>
      </w:r>
      <w:r w:rsidR="002F321B">
        <w:rPr>
          <w:lang w:eastAsia="cs-CZ"/>
        </w:rPr>
        <w:t>.</w:t>
      </w:r>
    </w:p>
    <w:p w14:paraId="42937C15" w14:textId="14E979FA" w:rsidR="002F321B" w:rsidRPr="002F321B" w:rsidRDefault="00BA00AC" w:rsidP="001D5765">
      <w:pPr>
        <w:pStyle w:val="Nadpis2"/>
        <w:spacing w:before="120" w:line="264" w:lineRule="auto"/>
        <w:ind w:left="567"/>
        <w:contextualSpacing w:val="0"/>
      </w:pPr>
      <w:r>
        <w:t xml:space="preserve">Znalecký posudek </w:t>
      </w:r>
      <w:r w:rsidR="002F321B">
        <w:t xml:space="preserve">musí splňovat veškeré </w:t>
      </w:r>
      <w:r w:rsidR="00C31924">
        <w:t xml:space="preserve">obsahové a formální </w:t>
      </w:r>
      <w:r w:rsidR="002F321B">
        <w:t>náležitosti stanovené ZZ a Vyhláškou.</w:t>
      </w:r>
    </w:p>
    <w:p w14:paraId="600D21AE" w14:textId="0EDED5D1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EA7779">
        <w:rPr>
          <w:rFonts w:eastAsia="Times New Roman"/>
          <w:lang w:eastAsia="cs-CZ"/>
        </w:rPr>
        <w:t>D</w:t>
      </w:r>
      <w:r>
        <w:rPr>
          <w:rFonts w:eastAsia="Times New Roman"/>
          <w:lang w:eastAsia="cs-CZ"/>
        </w:rPr>
        <w:t>íla</w:t>
      </w:r>
    </w:p>
    <w:p w14:paraId="4EC342FA" w14:textId="77777777" w:rsidR="00BA00AC" w:rsidRDefault="00B26CE0" w:rsidP="00B26CE0">
      <w:pPr>
        <w:pStyle w:val="Nadpis2"/>
        <w:spacing w:before="120" w:line="264" w:lineRule="auto"/>
        <w:ind w:left="578" w:hanging="578"/>
        <w:contextualSpacing w:val="0"/>
      </w:pPr>
      <w:r>
        <w:t>Cena za Dílo se s</w:t>
      </w:r>
      <w:r w:rsidR="00BC6B43">
        <w:t>jednává ve výš</w:t>
      </w:r>
      <w:r w:rsidR="00BA00AC">
        <w:t>i:</w:t>
      </w:r>
    </w:p>
    <w:p w14:paraId="71766D4A" w14:textId="472E0495" w:rsidR="00BA00AC" w:rsidRDefault="00BA00AC" w:rsidP="00BA00AC">
      <w:pPr>
        <w:pStyle w:val="Nadpis2"/>
        <w:numPr>
          <w:ilvl w:val="0"/>
          <w:numId w:val="0"/>
        </w:numPr>
        <w:spacing w:before="120" w:line="264" w:lineRule="auto"/>
        <w:ind w:left="578"/>
        <w:contextualSpacing w:val="0"/>
      </w:pPr>
      <w:r>
        <w:t>Cena bez DPH</w:t>
      </w:r>
      <w:r>
        <w:tab/>
      </w:r>
      <w:r>
        <w:tab/>
      </w:r>
      <w:r w:rsidR="00B54BB9" w:rsidRPr="00B54BB9">
        <w:rPr>
          <w:highlight w:val="green"/>
        </w:rPr>
        <w:t>[Doplní dodavatel]</w:t>
      </w:r>
      <w:r w:rsidR="00B54BB9">
        <w:t xml:space="preserve">.,- </w:t>
      </w:r>
      <w:r>
        <w:t>Kč</w:t>
      </w:r>
    </w:p>
    <w:p w14:paraId="277D1E9F" w14:textId="247AE8A2" w:rsidR="00BA00AC" w:rsidRDefault="00BA00AC" w:rsidP="00BA00AC">
      <w:pPr>
        <w:pStyle w:val="Nadpis2"/>
        <w:numPr>
          <w:ilvl w:val="0"/>
          <w:numId w:val="0"/>
        </w:numPr>
        <w:spacing w:before="120" w:line="264" w:lineRule="auto"/>
        <w:ind w:left="578"/>
        <w:contextualSpacing w:val="0"/>
      </w:pPr>
      <w:r>
        <w:t>Výše DPH</w:t>
      </w:r>
      <w:r>
        <w:tab/>
      </w:r>
      <w:r>
        <w:tab/>
      </w:r>
      <w:r w:rsidR="00B54BB9" w:rsidRPr="00B54BB9">
        <w:rPr>
          <w:highlight w:val="green"/>
        </w:rPr>
        <w:t>[Doplní dodavatel]</w:t>
      </w:r>
      <w:r>
        <w:t>.,- Kč</w:t>
      </w:r>
    </w:p>
    <w:p w14:paraId="284AD4A9" w14:textId="51CAB6BE" w:rsidR="00962E58" w:rsidRDefault="00BA00AC" w:rsidP="00BA00AC">
      <w:pPr>
        <w:pStyle w:val="Nadpis2"/>
        <w:numPr>
          <w:ilvl w:val="0"/>
          <w:numId w:val="0"/>
        </w:numPr>
        <w:spacing w:before="120" w:line="264" w:lineRule="auto"/>
        <w:ind w:left="578"/>
        <w:contextualSpacing w:val="0"/>
      </w:pPr>
      <w:r>
        <w:t>Cena včetně DPH</w:t>
      </w:r>
      <w:r w:rsidR="00BC6B43">
        <w:t xml:space="preserve"> </w:t>
      </w:r>
      <w:r>
        <w:tab/>
      </w:r>
      <w:r w:rsidR="00B54BB9" w:rsidRPr="00B54BB9">
        <w:rPr>
          <w:highlight w:val="green"/>
        </w:rPr>
        <w:t>[Doplní dodavatel]</w:t>
      </w:r>
      <w:r>
        <w:t>.,- Kč</w:t>
      </w:r>
      <w:r w:rsidDel="00BA00AC">
        <w:t xml:space="preserve"> </w:t>
      </w:r>
    </w:p>
    <w:p w14:paraId="121256AE" w14:textId="65401B0B" w:rsidR="00B26CE0" w:rsidRDefault="00EA7779" w:rsidP="00B26CE0">
      <w:pPr>
        <w:pStyle w:val="Nadpis2"/>
        <w:spacing w:before="120" w:line="264" w:lineRule="auto"/>
        <w:ind w:left="578" w:hanging="578"/>
        <w:contextualSpacing w:val="0"/>
      </w:pPr>
      <w:r>
        <w:t xml:space="preserve">Právo na zaplacení </w:t>
      </w:r>
      <w:r w:rsidR="00BC6B43">
        <w:t>c</w:t>
      </w:r>
      <w:r>
        <w:t>eny za Dílo</w:t>
      </w:r>
      <w:r w:rsidR="000223BE">
        <w:t xml:space="preserve"> dle odst. 1 tohoto článku</w:t>
      </w:r>
      <w:r>
        <w:t xml:space="preserve"> vzniká </w:t>
      </w:r>
      <w:r w:rsidR="00BA00AC">
        <w:t>jeho provedením</w:t>
      </w:r>
      <w:r w:rsidR="00B26CE0">
        <w:t>.</w:t>
      </w:r>
      <w:r>
        <w:t xml:space="preserve"> Zhotovitel </w:t>
      </w:r>
      <w:r w:rsidR="00B26CE0">
        <w:t xml:space="preserve">je </w:t>
      </w:r>
      <w:r>
        <w:t xml:space="preserve">oprávněn vystavit fakturu – daňový doklad </w:t>
      </w:r>
      <w:r w:rsidR="00B26CE0">
        <w:t xml:space="preserve">po </w:t>
      </w:r>
      <w:r>
        <w:t xml:space="preserve">podepsání </w:t>
      </w:r>
      <w:r w:rsidR="00B26CE0">
        <w:t xml:space="preserve">příslušného </w:t>
      </w:r>
      <w:r>
        <w:t xml:space="preserve">akceptačního protokolu </w:t>
      </w:r>
      <w:r w:rsidR="004D386A">
        <w:t xml:space="preserve">bez výhrad </w:t>
      </w:r>
      <w:r>
        <w:t xml:space="preserve">oběma </w:t>
      </w:r>
      <w:r w:rsidR="00F467D1">
        <w:t>smluvn</w:t>
      </w:r>
      <w:r w:rsidR="004B40DE">
        <w:t xml:space="preserve">ími stranami, jímž je potvrzeno provedení </w:t>
      </w:r>
      <w:r w:rsidR="005709A9">
        <w:t>ve</w:t>
      </w:r>
      <w:r w:rsidR="004B40DE">
        <w:t xml:space="preserve"> smyslu §</w:t>
      </w:r>
      <w:r w:rsidR="00B26CE0">
        <w:t> </w:t>
      </w:r>
      <w:r w:rsidR="004B40DE">
        <w:t>2605 Občanského zákoní</w:t>
      </w:r>
      <w:r w:rsidR="00E6406C">
        <w:t>ku.</w:t>
      </w:r>
      <w:r w:rsidR="004D386A">
        <w:t xml:space="preserve"> </w:t>
      </w:r>
      <w:r w:rsidR="002C6705">
        <w:t>Objednatel převezm</w:t>
      </w:r>
      <w:r w:rsidR="00EA308A">
        <w:t>e</w:t>
      </w:r>
      <w:r w:rsidR="002C6705">
        <w:t xml:space="preserve"> </w:t>
      </w:r>
      <w:r w:rsidR="000223BE">
        <w:t xml:space="preserve">předmět </w:t>
      </w:r>
      <w:r w:rsidR="002C6705">
        <w:t>Díl</w:t>
      </w:r>
      <w:r w:rsidR="00B26CE0">
        <w:t xml:space="preserve">a, </w:t>
      </w:r>
      <w:r w:rsidR="002C6705">
        <w:t>je-li předvedena jeho způsobilost sloužit svému účelu.</w:t>
      </w:r>
      <w:r w:rsidR="001969EA" w:rsidRPr="001969EA">
        <w:t xml:space="preserve"> </w:t>
      </w:r>
      <w:r w:rsidR="001969EA">
        <w:t>V případě akcept</w:t>
      </w:r>
      <w:r w:rsidR="005D2005">
        <w:t>ace</w:t>
      </w:r>
      <w:r w:rsidR="001969EA">
        <w:t xml:space="preserve"> </w:t>
      </w:r>
      <w:r w:rsidR="000223BE">
        <w:t xml:space="preserve">předmětu </w:t>
      </w:r>
      <w:r w:rsidR="001969EA">
        <w:t>Díla s výhradami je Zhotovitel oprávněn fakturovat až po odstranění vytčených vad.</w:t>
      </w:r>
    </w:p>
    <w:p w14:paraId="7867E722" w14:textId="7DB5702A" w:rsidR="00EA7779" w:rsidRPr="00893A74" w:rsidRDefault="002C6705" w:rsidP="00B26CE0">
      <w:pPr>
        <w:pStyle w:val="Nadpis2"/>
        <w:spacing w:before="120" w:line="264" w:lineRule="auto"/>
        <w:ind w:left="578" w:hanging="578"/>
        <w:contextualSpacing w:val="0"/>
      </w:pPr>
      <w:r>
        <w:t>V případě, že má</w:t>
      </w:r>
      <w:r w:rsidR="000223BE">
        <w:t xml:space="preserve"> předmět</w:t>
      </w:r>
      <w:r>
        <w:t xml:space="preserve"> </w:t>
      </w:r>
      <w:r w:rsidR="00B26CE0">
        <w:t>D</w:t>
      </w:r>
      <w:r>
        <w:t>íl</w:t>
      </w:r>
      <w:r w:rsidR="000223BE">
        <w:t>a</w:t>
      </w:r>
      <w:r>
        <w:t xml:space="preserve"> zjevnou vadu, převezm</w:t>
      </w:r>
      <w:r w:rsidR="00EA308A">
        <w:t>e</w:t>
      </w:r>
      <w:r>
        <w:t xml:space="preserve"> Objednatel </w:t>
      </w:r>
      <w:r w:rsidR="000223BE">
        <w:t xml:space="preserve">předmět </w:t>
      </w:r>
      <w:r>
        <w:t>Díl</w:t>
      </w:r>
      <w:r w:rsidR="000223BE">
        <w:t>a</w:t>
      </w:r>
      <w:r>
        <w:t xml:space="preserve"> s výhradami, které uved</w:t>
      </w:r>
      <w:r w:rsidR="005D2005">
        <w:t>ou</w:t>
      </w:r>
      <w:r>
        <w:t xml:space="preserve"> </w:t>
      </w:r>
      <w:r w:rsidRPr="00DF6542">
        <w:t xml:space="preserve">v předávacím protokolu. Zhotovitel je povinen </w:t>
      </w:r>
      <w:r w:rsidR="00A363AA" w:rsidRPr="00DF6542">
        <w:t>vytčené vady odstranit ihned ve smyslu §</w:t>
      </w:r>
      <w:r w:rsidR="00B26CE0">
        <w:t> </w:t>
      </w:r>
      <w:r w:rsidR="00A363AA" w:rsidRPr="00DF6542">
        <w:t>1959 písm.</w:t>
      </w:r>
      <w:r w:rsidR="00B26CE0">
        <w:t> </w:t>
      </w:r>
      <w:r w:rsidR="00A363AA" w:rsidRPr="00DF6542">
        <w:t xml:space="preserve">e) Občanského zákoníku, nedohodnou-li se </w:t>
      </w:r>
      <w:r w:rsidR="00F467D1">
        <w:t>smluvn</w:t>
      </w:r>
      <w:r w:rsidR="00A363AA" w:rsidRPr="00DF6542">
        <w:t>í strany jinak.</w:t>
      </w:r>
      <w:r w:rsidR="00AF0AAA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DF6542">
        <w:rPr>
          <w:rFonts w:eastAsia="Times New Roman"/>
          <w:lang w:eastAsia="cs-CZ"/>
        </w:rPr>
        <w:t>Místo</w:t>
      </w:r>
      <w:r w:rsidRPr="004E1498">
        <w:rPr>
          <w:rFonts w:eastAsia="Times New Roman"/>
          <w:lang w:eastAsia="cs-CZ"/>
        </w:rPr>
        <w:t xml:space="preserve"> a doba plnění</w:t>
      </w:r>
    </w:p>
    <w:p w14:paraId="4DCCF507" w14:textId="1392B5F0" w:rsidR="004E1498" w:rsidRPr="008A2E6F" w:rsidRDefault="004E1498" w:rsidP="0038033B">
      <w:pPr>
        <w:pStyle w:val="Nadpis2"/>
        <w:spacing w:before="120" w:line="264" w:lineRule="auto"/>
        <w:ind w:left="578" w:hanging="578"/>
        <w:contextualSpacing w:val="0"/>
      </w:pPr>
      <w:r w:rsidRPr="008A2E6F">
        <w:t>Místem plnění</w:t>
      </w:r>
      <w:r w:rsidR="00FC172A">
        <w:t xml:space="preserve"> pro elektronickou podobu výstupu předmětu Díla dle čl. 2 odst. 3 bod (i) této smlouvy je e-mailová adresa kontaktní osoby uvedená v čl. 8 této smlouvy. Pro listinnou podobu výstupu předmětu Díla dle čl. 2 odst. 3 bod (</w:t>
      </w:r>
      <w:proofErr w:type="spellStart"/>
      <w:r w:rsidR="00FC172A">
        <w:t>ii</w:t>
      </w:r>
      <w:proofErr w:type="spellEnd"/>
      <w:r w:rsidR="00FC172A">
        <w:t>)</w:t>
      </w:r>
      <w:r w:rsidRPr="008A2E6F">
        <w:t xml:space="preserve"> </w:t>
      </w:r>
      <w:r w:rsidR="00FC172A">
        <w:t xml:space="preserve">této smlouvy </w:t>
      </w:r>
      <w:r w:rsidRPr="008A2E6F">
        <w:t>je</w:t>
      </w:r>
      <w:r w:rsidR="008A2E6F" w:rsidRPr="008A2E6F">
        <w:t xml:space="preserve"> </w:t>
      </w:r>
      <w:r w:rsidR="00691949">
        <w:t xml:space="preserve">místem plnění </w:t>
      </w:r>
      <w:r w:rsidR="00F47366">
        <w:t>adresa sídla Objednatele</w:t>
      </w:r>
      <w:r w:rsidR="008A2E6F" w:rsidRPr="008A2E6F">
        <w:t>.</w:t>
      </w:r>
    </w:p>
    <w:p w14:paraId="2ACB0A34" w14:textId="2D366965" w:rsidR="00C75562" w:rsidRDefault="00FC172A" w:rsidP="00396267">
      <w:pPr>
        <w:pStyle w:val="Nadpis2"/>
        <w:spacing w:before="120" w:line="264" w:lineRule="auto"/>
        <w:ind w:left="578" w:hanging="578"/>
        <w:contextualSpacing w:val="0"/>
      </w:pPr>
      <w:r>
        <w:t xml:space="preserve">Zhotovitel se zavazuje dokončit a předat výstupy předmětu Díla nejpozději do 2 měsíců </w:t>
      </w:r>
      <w:r w:rsidR="00DF19F2">
        <w:t>ode dne předání podkladů nutných pro řádné vyhotovení předmětu Díla Objednatelem a písemné výzvy Objednatele</w:t>
      </w:r>
      <w:r>
        <w:t xml:space="preserve">. </w:t>
      </w:r>
      <w:r w:rsidR="006C5425">
        <w:t xml:space="preserve"> V</w:t>
      </w:r>
      <w:r w:rsidR="006B747E">
        <w:t> </w:t>
      </w:r>
      <w:r w:rsidR="006C5425">
        <w:t xml:space="preserve">případě nedodržení termínu </w:t>
      </w:r>
      <w:r w:rsidR="006B747E">
        <w:t xml:space="preserve">pro </w:t>
      </w:r>
      <w:r w:rsidR="006C5425">
        <w:t>dokončení</w:t>
      </w:r>
      <w:r w:rsidR="006B747E">
        <w:t xml:space="preserve"> a </w:t>
      </w:r>
      <w:r w:rsidR="006C5425">
        <w:t xml:space="preserve">předání </w:t>
      </w:r>
      <w:r>
        <w:t>předmětu Díla</w:t>
      </w:r>
      <w:r w:rsidR="006C5425" w:rsidRPr="00C71609">
        <w:t xml:space="preserve"> je Zhotovitel povinen Objednatel</w:t>
      </w:r>
      <w:r w:rsidR="00EA308A">
        <w:t>i</w:t>
      </w:r>
      <w:r w:rsidR="006C5425" w:rsidRPr="00C71609">
        <w:t xml:space="preserve"> zaplatit smluvní pokutu ve výši </w:t>
      </w:r>
      <w:r w:rsidR="00DF19F2">
        <w:t>0,5 procenta z ceny Díla</w:t>
      </w:r>
      <w:r w:rsidR="006C5425" w:rsidRPr="00C71609">
        <w:t xml:space="preserve"> za každý i započatý den prodlení</w:t>
      </w:r>
      <w:r w:rsidR="00F47366">
        <w:t xml:space="preserve">, maximálně však 10.000,- Kč za každý </w:t>
      </w:r>
      <w:r w:rsidR="00691949">
        <w:t xml:space="preserve">i započatý </w:t>
      </w:r>
      <w:r w:rsidR="00F47366">
        <w:t>den prodlení,</w:t>
      </w:r>
      <w:r w:rsidR="006C5425" w:rsidRPr="00C71609">
        <w:t xml:space="preserve"> se splněním povinnosti</w:t>
      </w:r>
      <w:r w:rsidR="00EF1E2D" w:rsidRPr="00C71609">
        <w:t xml:space="preserve"> </w:t>
      </w:r>
      <w:r>
        <w:t>dle předchozí věty.</w:t>
      </w:r>
      <w:r w:rsidR="00EF1E2D" w:rsidRPr="00C71609">
        <w:t xml:space="preserve"> </w:t>
      </w:r>
    </w:p>
    <w:p w14:paraId="1B760F7A" w14:textId="77777777" w:rsidR="00063DDA" w:rsidRPr="00063DDA" w:rsidRDefault="00063DDA" w:rsidP="00063DDA">
      <w:pPr>
        <w:rPr>
          <w:lang w:eastAsia="cs-CZ"/>
        </w:rPr>
      </w:pPr>
    </w:p>
    <w:p w14:paraId="04089C47" w14:textId="77777777" w:rsidR="00390616" w:rsidRDefault="00390616" w:rsidP="00390616">
      <w:pPr>
        <w:pStyle w:val="Nadpis1"/>
        <w:spacing w:line="276" w:lineRule="auto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Mlčenlivost, důvěrné informace</w:t>
      </w:r>
    </w:p>
    <w:p w14:paraId="61609983" w14:textId="03002AD7" w:rsidR="0038033B" w:rsidRDefault="0038033B" w:rsidP="0038033B">
      <w:pPr>
        <w:pStyle w:val="Nadpis2"/>
        <w:spacing w:before="120" w:line="264" w:lineRule="auto"/>
        <w:ind w:left="578" w:hanging="578"/>
        <w:contextualSpacing w:val="0"/>
      </w:pPr>
      <w:r w:rsidRPr="00390616">
        <w:t xml:space="preserve">Zhotovitel je </w:t>
      </w:r>
      <w:r w:rsidR="00EF1E2D">
        <w:t>povinen zachovávat povinnost mlčenlivosti vyplývající pro něj jako pro znalce z právních předpisů, zejména § 20 ZZ.</w:t>
      </w:r>
    </w:p>
    <w:p w14:paraId="1328A0D4" w14:textId="327D1CAE" w:rsidR="00DF6542" w:rsidRDefault="00DF6542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Odpovědnost za škodu</w:t>
      </w:r>
    </w:p>
    <w:p w14:paraId="66FE02DA" w14:textId="116C74BF" w:rsidR="00BE5F8D" w:rsidRPr="00BE5F8D" w:rsidRDefault="00477CFE">
      <w:pPr>
        <w:pStyle w:val="Nadpis2"/>
        <w:spacing w:before="120" w:line="264" w:lineRule="auto"/>
        <w:ind w:left="578" w:hanging="578"/>
        <w:contextualSpacing w:val="0"/>
      </w:pPr>
      <w:r>
        <w:t>Objednatel j</w:t>
      </w:r>
      <w:r w:rsidR="00EA308A">
        <w:t>e</w:t>
      </w:r>
      <w:r w:rsidR="00BE5F8D">
        <w:t xml:space="preserve"> oprávněn uplatnit po </w:t>
      </w:r>
      <w:r w:rsidRPr="00C71609">
        <w:t>Zhotoviteli</w:t>
      </w:r>
      <w:r w:rsidR="00BE5F8D" w:rsidRPr="00C71609">
        <w:t xml:space="preserve"> nárok na náhradu škody pouze do celkové souhrnné výše </w:t>
      </w:r>
      <w:r w:rsidRPr="00C71609">
        <w:t>čtyřnásobku</w:t>
      </w:r>
      <w:r w:rsidR="00BE5F8D" w:rsidRPr="00C71609">
        <w:t xml:space="preserve"> ceny </w:t>
      </w:r>
      <w:r w:rsidR="00EF1E2D" w:rsidRPr="00C71609">
        <w:t>za D</w:t>
      </w:r>
      <w:r w:rsidRPr="00C71609">
        <w:t>íl</w:t>
      </w:r>
      <w:r w:rsidR="00EF1E2D" w:rsidRPr="00C71609">
        <w:t>o</w:t>
      </w:r>
      <w:r w:rsidRPr="00C71609">
        <w:t xml:space="preserve"> </w:t>
      </w:r>
      <w:r w:rsidR="00BE5F8D" w:rsidRPr="00C71609">
        <w:t xml:space="preserve">dle čl. </w:t>
      </w:r>
      <w:r w:rsidR="00FC172A">
        <w:t>3</w:t>
      </w:r>
      <w:r w:rsidR="00BE5F8D" w:rsidRPr="00C71609">
        <w:t>.</w:t>
      </w:r>
      <w:r w:rsidRPr="00C71609">
        <w:t>1</w:t>
      </w:r>
      <w:r w:rsidR="00BE5F8D" w:rsidRPr="00C71609">
        <w:t xml:space="preserve"> této </w:t>
      </w:r>
      <w:r w:rsidR="005208B3" w:rsidRPr="00C71609">
        <w:t>s</w:t>
      </w:r>
      <w:r w:rsidR="00BE5F8D" w:rsidRPr="00C71609">
        <w:t>mlouvy bez DPH</w:t>
      </w:r>
      <w:r w:rsidRPr="00C71609">
        <w:t>.</w:t>
      </w:r>
      <w:r w:rsidR="00C606F7" w:rsidRPr="00C71609">
        <w:t xml:space="preserve"> Tímto není dotčena odpovědnost</w:t>
      </w:r>
      <w:r w:rsidR="00C606F7">
        <w:t xml:space="preserve"> za škodu způsobenou úmyslně či hrubou nedbalostí.</w:t>
      </w:r>
    </w:p>
    <w:p w14:paraId="700C0934" w14:textId="432512A6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0787730D" w14:textId="49C3306B" w:rsidR="00B54BB9" w:rsidRPr="004E1498" w:rsidRDefault="00B54BB9" w:rsidP="00B54BB9">
      <w:pPr>
        <w:pStyle w:val="Nadpis2"/>
        <w:ind w:left="576"/>
        <w:jc w:val="left"/>
      </w:pPr>
      <w:r w:rsidRPr="004E1498">
        <w:t>Na pro</w:t>
      </w:r>
      <w:r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r>
        <w:t xml:space="preserve">. </w:t>
      </w:r>
      <w:r w:rsidR="00986767">
        <w:t>3</w:t>
      </w:r>
      <w:r>
        <w:t xml:space="preserve"> </w:t>
      </w:r>
      <w:proofErr w:type="gramStart"/>
      <w:r>
        <w:t>této</w:t>
      </w:r>
      <w:proofErr w:type="gramEnd"/>
      <w:r>
        <w:t xml:space="preserve"> s</w:t>
      </w:r>
      <w:r w:rsidRPr="004E1498">
        <w:t xml:space="preserve">mlouvy. </w:t>
      </w:r>
    </w:p>
    <w:p w14:paraId="72556B53" w14:textId="13687DE7" w:rsidR="00B54BB9" w:rsidRDefault="00B54BB9" w:rsidP="00B54BB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green"/>
          <w:lang w:eastAsia="cs-CZ"/>
        </w:rPr>
        <w:t>7</w:t>
      </w:r>
      <w:r w:rsidRPr="009B4030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53154678" w14:textId="3795DAB2" w:rsidR="006A3264" w:rsidRDefault="006A3264" w:rsidP="00B54BB9">
      <w:pPr>
        <w:pStyle w:val="Nadpis2"/>
        <w:numPr>
          <w:ilvl w:val="0"/>
          <w:numId w:val="0"/>
        </w:numPr>
        <w:spacing w:before="120" w:line="264" w:lineRule="auto"/>
        <w:ind w:left="578"/>
        <w:contextualSpacing w:val="0"/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1A2E5441" w:rsidR="004E1498" w:rsidRPr="004E1498" w:rsidRDefault="004E1498" w:rsidP="001D5765">
      <w:pPr>
        <w:pStyle w:val="Nadpis2"/>
        <w:spacing w:before="120" w:line="264" w:lineRule="auto"/>
        <w:ind w:left="567"/>
        <w:contextualSpacing w:val="0"/>
      </w:pPr>
      <w:r w:rsidRPr="004E1498">
        <w:t>Zhotovitel prohlašuje, že je způsobilý k</w:t>
      </w:r>
      <w:r w:rsidR="006869AE">
        <w:t> </w:t>
      </w:r>
      <w:r w:rsidRPr="004E1498">
        <w:t>řádnému a včasnému provedení Díla</w:t>
      </w:r>
      <w:r w:rsidR="00382AE7">
        <w:t>,</w:t>
      </w:r>
      <w:r w:rsidR="006869AE">
        <w:t xml:space="preserve"> a </w:t>
      </w:r>
      <w:r w:rsidRPr="004E1498">
        <w:t>že disponuje takovými kapacitami a odbornými znalostmi, které jsou třeba k</w:t>
      </w:r>
      <w:r w:rsidR="006869AE">
        <w:t> </w:t>
      </w:r>
      <w:r w:rsidRPr="004E1498">
        <w:t>řádnému provedení Díla.</w:t>
      </w:r>
    </w:p>
    <w:p w14:paraId="7EDF1044" w14:textId="7817DFF5" w:rsidR="004E1498" w:rsidRPr="004E1498" w:rsidRDefault="004E1498" w:rsidP="001D5765">
      <w:pPr>
        <w:pStyle w:val="Nadpis2"/>
        <w:spacing w:before="120" w:line="264" w:lineRule="auto"/>
        <w:ind w:left="567"/>
        <w:contextualSpacing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38C98EBC" w14:textId="2B39C6C6" w:rsidR="00754E6B" w:rsidRDefault="00754E6B" w:rsidP="001D5765">
      <w:pPr>
        <w:pStyle w:val="Nadpis3"/>
        <w:spacing w:before="120" w:line="264" w:lineRule="auto"/>
        <w:contextualSpacing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>
        <w:rPr>
          <w:highlight w:val="yellow"/>
        </w:rPr>
        <w:t>:</w:t>
      </w:r>
    </w:p>
    <w:p w14:paraId="62506649" w14:textId="79FE792D" w:rsidR="00754E6B" w:rsidRPr="00B54BB9" w:rsidRDefault="00754E6B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yellow"/>
        </w:rPr>
      </w:pPr>
      <w:r w:rsidRPr="004E1498">
        <w:rPr>
          <w:highlight w:val="yellow"/>
        </w:rPr>
        <w:t>p</w:t>
      </w:r>
      <w:r w:rsidRPr="00B54BB9">
        <w:rPr>
          <w:highlight w:val="yellow"/>
        </w:rPr>
        <w:t xml:space="preserve">. </w:t>
      </w:r>
      <w:r w:rsidR="00B54BB9" w:rsidRPr="00B54BB9">
        <w:rPr>
          <w:highlight w:val="yellow"/>
        </w:rPr>
        <w:t>[Doplní Objednatel před podpisem smlouvy]</w:t>
      </w:r>
      <w:r w:rsidRPr="00B54BB9">
        <w:rPr>
          <w:highlight w:val="yellow"/>
        </w:rPr>
        <w:t xml:space="preserve">, </w:t>
      </w:r>
    </w:p>
    <w:p w14:paraId="25B81E97" w14:textId="37AB0CB9" w:rsidR="00754E6B" w:rsidRPr="00B54BB9" w:rsidRDefault="00754E6B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yellow"/>
        </w:rPr>
      </w:pPr>
      <w:r w:rsidRPr="00B54BB9">
        <w:rPr>
          <w:highlight w:val="yellow"/>
        </w:rPr>
        <w:t xml:space="preserve">tel. </w:t>
      </w:r>
      <w:r w:rsidR="00B54BB9" w:rsidRPr="00B54BB9">
        <w:rPr>
          <w:highlight w:val="yellow"/>
        </w:rPr>
        <w:t>[Doplní Objednatel před podpisem smlouvy]</w:t>
      </w:r>
      <w:r w:rsidRPr="00B54BB9">
        <w:rPr>
          <w:highlight w:val="yellow"/>
        </w:rPr>
        <w:t xml:space="preserve">, </w:t>
      </w:r>
    </w:p>
    <w:p w14:paraId="544F7DC8" w14:textId="624E07DF" w:rsidR="00754E6B" w:rsidRPr="00B54BB9" w:rsidRDefault="00754E6B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yellow"/>
        </w:rPr>
      </w:pPr>
      <w:r w:rsidRPr="00B54BB9">
        <w:rPr>
          <w:highlight w:val="yellow"/>
        </w:rPr>
        <w:t xml:space="preserve">email </w:t>
      </w:r>
      <w:r w:rsidR="00B54BB9" w:rsidRPr="00B54BB9">
        <w:rPr>
          <w:highlight w:val="yellow"/>
        </w:rPr>
        <w:t>[Doplní Objednatel před podpisem smlouvy]</w:t>
      </w:r>
      <w:r w:rsidRPr="00B54BB9">
        <w:rPr>
          <w:highlight w:val="yellow"/>
        </w:rPr>
        <w:t>,</w:t>
      </w:r>
    </w:p>
    <w:p w14:paraId="20265BA9" w14:textId="77777777" w:rsidR="00754E6B" w:rsidRDefault="004E1498" w:rsidP="001D5765">
      <w:pPr>
        <w:pStyle w:val="Nadpis3"/>
        <w:spacing w:before="120" w:line="264" w:lineRule="auto"/>
        <w:contextualSpacing w:val="0"/>
        <w:rPr>
          <w:highlight w:val="green"/>
        </w:rPr>
      </w:pPr>
      <w:bookmarkStart w:id="2" w:name="_Ref75957413"/>
      <w:bookmarkStart w:id="3" w:name="_Ref73084029"/>
      <w:r w:rsidRPr="009B4030">
        <w:rPr>
          <w:highlight w:val="green"/>
        </w:rPr>
        <w:t>za Zhotovitele</w:t>
      </w:r>
      <w:r w:rsidR="00754E6B">
        <w:rPr>
          <w:highlight w:val="green"/>
        </w:rPr>
        <w:t>:</w:t>
      </w:r>
      <w:bookmarkEnd w:id="2"/>
    </w:p>
    <w:p w14:paraId="15480E7C" w14:textId="5FF98981" w:rsidR="00754E6B" w:rsidRDefault="004E1498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green"/>
        </w:rPr>
      </w:pPr>
      <w:r w:rsidRPr="009B4030">
        <w:rPr>
          <w:highlight w:val="green"/>
        </w:rPr>
        <w:t xml:space="preserve">p. </w:t>
      </w:r>
      <w:r w:rsidR="00B54BB9" w:rsidRPr="00B54BB9">
        <w:rPr>
          <w:highlight w:val="green"/>
        </w:rPr>
        <w:t>[Doplní dodavatel]</w:t>
      </w:r>
      <w:r w:rsidR="0086114C" w:rsidRPr="009B4030">
        <w:rPr>
          <w:highlight w:val="green"/>
        </w:rPr>
        <w:t>,</w:t>
      </w:r>
      <w:r w:rsidRPr="009B4030">
        <w:rPr>
          <w:highlight w:val="green"/>
        </w:rPr>
        <w:t xml:space="preserve"> </w:t>
      </w:r>
    </w:p>
    <w:p w14:paraId="72D51AD5" w14:textId="45EBF826" w:rsidR="00754E6B" w:rsidRDefault="004E1498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green"/>
        </w:rPr>
      </w:pPr>
      <w:r w:rsidRPr="009B4030">
        <w:rPr>
          <w:highlight w:val="green"/>
        </w:rPr>
        <w:t xml:space="preserve">tel. </w:t>
      </w:r>
      <w:r w:rsidR="00B54BB9" w:rsidRPr="00B54BB9">
        <w:rPr>
          <w:highlight w:val="green"/>
        </w:rPr>
        <w:t>[Doplní dodavatel]</w:t>
      </w:r>
      <w:r w:rsidR="0086114C" w:rsidRPr="009B4030">
        <w:rPr>
          <w:highlight w:val="green"/>
        </w:rPr>
        <w:t>,</w:t>
      </w:r>
      <w:r w:rsidRPr="009B4030">
        <w:rPr>
          <w:highlight w:val="green"/>
        </w:rPr>
        <w:t xml:space="preserve"> </w:t>
      </w:r>
    </w:p>
    <w:p w14:paraId="1C513CD4" w14:textId="1A757BB8" w:rsidR="004E1498" w:rsidRPr="009B4030" w:rsidRDefault="004E1498" w:rsidP="001D5765">
      <w:pPr>
        <w:pStyle w:val="Nadpis3"/>
        <w:numPr>
          <w:ilvl w:val="0"/>
          <w:numId w:val="0"/>
        </w:numPr>
        <w:spacing w:before="120" w:line="264" w:lineRule="auto"/>
        <w:ind w:left="1287"/>
        <w:contextualSpacing w:val="0"/>
        <w:rPr>
          <w:highlight w:val="green"/>
        </w:rPr>
      </w:pPr>
      <w:r w:rsidRPr="009B4030">
        <w:rPr>
          <w:highlight w:val="green"/>
        </w:rPr>
        <w:t>email</w:t>
      </w:r>
      <w:r w:rsidR="00B54BB9" w:rsidRPr="00B54BB9">
        <w:rPr>
          <w:highlight w:val="green"/>
        </w:rPr>
        <w:t>[Doplní dodavatel]</w:t>
      </w:r>
      <w:r w:rsidR="0086114C" w:rsidRPr="009B4030">
        <w:rPr>
          <w:highlight w:val="green"/>
        </w:rPr>
        <w:t>.</w:t>
      </w:r>
      <w:bookmarkEnd w:id="3"/>
    </w:p>
    <w:p w14:paraId="17A8F0DD" w14:textId="16F9CAA8" w:rsidR="00754E6B" w:rsidRPr="006869AE" w:rsidRDefault="00754E6B" w:rsidP="001D5765">
      <w:pPr>
        <w:pStyle w:val="Nadpis2"/>
        <w:spacing w:before="120" w:line="264" w:lineRule="auto"/>
        <w:ind w:left="567"/>
        <w:contextualSpacing w:val="0"/>
      </w:pPr>
      <w:r>
        <w:t xml:space="preserve">Zhotovitel dává </w:t>
      </w:r>
      <w:r w:rsidR="006875FA">
        <w:t>O</w:t>
      </w:r>
      <w:r>
        <w:t>bjednatel</w:t>
      </w:r>
      <w:r w:rsidR="00EA308A">
        <w:t>i</w:t>
      </w:r>
      <w:r>
        <w:t xml:space="preserve"> souhlas s případným zveřejněním </w:t>
      </w:r>
      <w:r w:rsidR="00F56978">
        <w:t xml:space="preserve">výstupů z provedení </w:t>
      </w:r>
      <w:r>
        <w:t>Díla.</w:t>
      </w:r>
    </w:p>
    <w:p w14:paraId="739753B3" w14:textId="74735E54" w:rsidR="004E1498" w:rsidRPr="00D9782E" w:rsidRDefault="004E1498" w:rsidP="001D5765">
      <w:pPr>
        <w:pStyle w:val="Nadpis2"/>
        <w:spacing w:before="120" w:line="264" w:lineRule="auto"/>
        <w:ind w:left="567"/>
        <w:contextualSpacing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 xml:space="preserve">trany berou na vědomí, že tato </w:t>
      </w:r>
      <w:r w:rsidR="00382AE7">
        <w:rPr>
          <w:rFonts w:eastAsia="Calibri"/>
        </w:rPr>
        <w:t>s</w:t>
      </w:r>
      <w:r w:rsidRPr="004E1498">
        <w:rPr>
          <w:rFonts w:eastAsia="Calibri"/>
        </w:rPr>
        <w:t xml:space="preserve">mlouva podléhá uveřejnění v registru smluv podle </w:t>
      </w:r>
      <w:r w:rsidRPr="00382AE7">
        <w:rPr>
          <w:rFonts w:eastAsia="Calibri"/>
          <w:i/>
          <w:iCs/>
        </w:rPr>
        <w:t>zákona č. 340/2015 Sb., o zvláštních podmínkách účinnosti ně</w:t>
      </w:r>
      <w:r w:rsidR="00D9782E" w:rsidRPr="00382AE7">
        <w:rPr>
          <w:rFonts w:eastAsia="Calibri"/>
          <w:i/>
          <w:iCs/>
        </w:rPr>
        <w:t>kterých s</w:t>
      </w:r>
      <w:r w:rsidRPr="00382AE7">
        <w:rPr>
          <w:rFonts w:eastAsia="Calibri"/>
          <w:i/>
          <w:iCs/>
        </w:rPr>
        <w:t>mluv, uveřejňování těchto smluv a o registru smluv</w:t>
      </w:r>
      <w:r w:rsidRPr="00D9782E">
        <w:rPr>
          <w:rFonts w:eastAsia="Calibri"/>
        </w:rPr>
        <w:t xml:space="preserve"> (dále jen „</w:t>
      </w:r>
      <w:r w:rsidRPr="00382AE7">
        <w:rPr>
          <w:rFonts w:eastAsia="Calibri"/>
          <w:b/>
          <w:bCs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 xml:space="preserve">ích stran, předmětu </w:t>
      </w:r>
      <w:r w:rsidR="00382AE7">
        <w:rPr>
          <w:rFonts w:eastAsia="Calibri"/>
        </w:rPr>
        <w:t>s</w:t>
      </w:r>
      <w:r w:rsidR="003B5DD6">
        <w:rPr>
          <w:rFonts w:eastAsia="Calibri"/>
        </w:rPr>
        <w:t>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 xml:space="preserve">i hodnotě a datu uzavření této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y.</w:t>
      </w:r>
    </w:p>
    <w:p w14:paraId="0F72ED32" w14:textId="18BEC154" w:rsidR="004E1498" w:rsidRPr="00D9782E" w:rsidRDefault="004E1498" w:rsidP="001D5765">
      <w:pPr>
        <w:pStyle w:val="Nadpis2"/>
        <w:spacing w:before="120" w:line="264" w:lineRule="auto"/>
        <w:ind w:left="567"/>
        <w:contextualSpacing w:val="0"/>
      </w:pPr>
      <w:r w:rsidRPr="00D9782E">
        <w:rPr>
          <w:rStyle w:val="Nadpis2Char"/>
          <w:rFonts w:eastAsia="Calibri"/>
        </w:rPr>
        <w:t xml:space="preserve">Zaslání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y správci registru smluv k uveřejnění v registru smluv zajišťuj</w:t>
      </w:r>
      <w:r w:rsidR="00EA308A">
        <w:rPr>
          <w:rFonts w:eastAsia="Calibri"/>
        </w:rPr>
        <w:t>e</w:t>
      </w:r>
      <w:r w:rsidRPr="00D9782E">
        <w:rPr>
          <w:rFonts w:eastAsia="Calibri"/>
        </w:rPr>
        <w:t xml:space="preserve"> obvy</w:t>
      </w:r>
      <w:r w:rsidR="00D9782E">
        <w:rPr>
          <w:rFonts w:eastAsia="Calibri"/>
        </w:rPr>
        <w:t xml:space="preserve">kle Objednatel. Nebude-li tato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a zaslána k uveřejnění a/nebo uveřejněna prostřednictvím registru smluv, není žádná ze </w:t>
      </w:r>
      <w:r w:rsidR="00382AE7">
        <w:rPr>
          <w:rFonts w:eastAsia="Calibri"/>
        </w:rPr>
        <w:t>s</w:t>
      </w:r>
      <w:r w:rsidR="003B5DD6">
        <w:rPr>
          <w:rFonts w:eastAsia="Calibri"/>
        </w:rPr>
        <w:t>ml</w:t>
      </w:r>
      <w:r w:rsidRPr="00D9782E">
        <w:rPr>
          <w:rFonts w:eastAsia="Calibri"/>
        </w:rPr>
        <w:t xml:space="preserve">uvních stran oprávněna požadovat po druhé </w:t>
      </w:r>
      <w:r w:rsidR="00382AE7">
        <w:rPr>
          <w:rFonts w:eastAsia="Calibri"/>
        </w:rPr>
        <w:t>s</w:t>
      </w:r>
      <w:r w:rsidR="003B5DD6">
        <w:rPr>
          <w:rFonts w:eastAsia="Calibri"/>
        </w:rPr>
        <w:t>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380ECDC7" w:rsidR="004E1498" w:rsidRPr="00D9782E" w:rsidRDefault="004E1498" w:rsidP="001D5765">
      <w:pPr>
        <w:pStyle w:val="Nadpis2"/>
        <w:spacing w:before="120" w:line="264" w:lineRule="auto"/>
        <w:ind w:left="567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ě, vyjma částí označených ve smyslu následujícího odstavce této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y, nepovažují za obchodní tajemství ve smyslu ustanovení § 504</w:t>
      </w:r>
      <w:r w:rsidR="00382AE7">
        <w:rPr>
          <w:rFonts w:eastAsia="Calibri"/>
        </w:rPr>
        <w:t xml:space="preserve"> </w:t>
      </w:r>
      <w:r w:rsidRPr="00D9782E">
        <w:rPr>
          <w:rFonts w:eastAsia="Calibri"/>
        </w:rPr>
        <w:t>Občanského zákoníku (dále jen „obchodní tajemství“), a že se nejedná ani o informace, které nemohou být v registru smluv uveřejněny na základě ustanovení § 3</w:t>
      </w:r>
      <w:r w:rsidR="00382AE7">
        <w:rPr>
          <w:rFonts w:eastAsia="Calibri"/>
        </w:rPr>
        <w:t xml:space="preserve"> </w:t>
      </w:r>
      <w:r w:rsidRPr="00D9782E">
        <w:rPr>
          <w:rFonts w:eastAsia="Calibri"/>
        </w:rPr>
        <w:t>odst. 1</w:t>
      </w:r>
      <w:r w:rsidR="00382AE7">
        <w:rPr>
          <w:rFonts w:eastAsia="Calibri"/>
        </w:rPr>
        <w:t xml:space="preserve"> </w:t>
      </w:r>
      <w:r w:rsidRPr="00D9782E">
        <w:rPr>
          <w:rFonts w:eastAsia="Calibri"/>
        </w:rPr>
        <w:t>ZRS.</w:t>
      </w:r>
    </w:p>
    <w:p w14:paraId="3F047B18" w14:textId="5380333B" w:rsidR="004E1498" w:rsidRPr="00D9782E" w:rsidRDefault="004E1498" w:rsidP="001D5765">
      <w:pPr>
        <w:pStyle w:val="Nadpis2"/>
        <w:spacing w:before="120" w:line="264" w:lineRule="auto"/>
        <w:ind w:left="567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82AE7">
        <w:rPr>
          <w:rFonts w:eastAsia="Calibri"/>
        </w:rPr>
        <w:t>s</w:t>
      </w:r>
      <w:r w:rsidR="003B5DD6">
        <w:rPr>
          <w:rFonts w:eastAsia="Calibri"/>
        </w:rPr>
        <w:t>ml</w:t>
      </w:r>
      <w:r w:rsidRPr="00D9782E">
        <w:rPr>
          <w:rFonts w:eastAsia="Calibri"/>
        </w:rPr>
        <w:t xml:space="preserve">uvní strana označí za své obchodní tajemství část obsahu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y, která v důsledku toho bude pro účely uveřejnění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y v registru smluv znečitelněna, nese tato </w:t>
      </w:r>
      <w:r w:rsidR="00382AE7">
        <w:rPr>
          <w:rFonts w:eastAsia="Calibri"/>
        </w:rPr>
        <w:t>s</w:t>
      </w:r>
      <w:r w:rsidR="003B5DD6">
        <w:rPr>
          <w:rFonts w:eastAsia="Calibri"/>
        </w:rPr>
        <w:t>ml</w:t>
      </w:r>
      <w:r w:rsidRPr="00D9782E">
        <w:rPr>
          <w:rFonts w:eastAsia="Calibri"/>
        </w:rPr>
        <w:t xml:space="preserve">uvní strana odpovědnost, pokud by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a v důsledku takového označení byla </w:t>
      </w:r>
      <w:r w:rsidRPr="00D9782E">
        <w:rPr>
          <w:rFonts w:eastAsia="Calibri"/>
        </w:rPr>
        <w:lastRenderedPageBreak/>
        <w:t xml:space="preserve">uveřejněna způsobem odporujícím ZRS, a to bez ohledu na to, která ze stran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u v registru smluv uveřejnila. S</w:t>
      </w:r>
      <w:r w:rsidR="00F467D1">
        <w:rPr>
          <w:rFonts w:eastAsia="Calibri"/>
        </w:rPr>
        <w:t> </w:t>
      </w:r>
      <w:r w:rsidRPr="00D9782E">
        <w:rPr>
          <w:rFonts w:eastAsia="Calibri"/>
        </w:rPr>
        <w:t xml:space="preserve">částmi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y, které druhá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 xml:space="preserve">í strana neoznačí za své obchodní tajemství před uzavřením této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y, nebud</w:t>
      </w:r>
      <w:r w:rsidR="00EA308A">
        <w:rPr>
          <w:rFonts w:eastAsia="Calibri"/>
        </w:rPr>
        <w:t>e</w:t>
      </w:r>
      <w:r w:rsidRPr="00D9782E">
        <w:rPr>
          <w:rFonts w:eastAsia="Calibri"/>
        </w:rPr>
        <w:t xml:space="preserve">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>í strany Objednatel</w:t>
      </w:r>
      <w:r w:rsidR="00EA308A">
        <w:rPr>
          <w:rFonts w:eastAsia="Calibri"/>
        </w:rPr>
        <w:t>i</w:t>
      </w:r>
      <w:r w:rsidRPr="00D9782E">
        <w:rPr>
          <w:rFonts w:eastAsia="Calibri"/>
        </w:rPr>
        <w:t xml:space="preserve"> obsahujícího přesnou identifikaci dotčených částí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y včetně odůvodnění, proč jsou za obchodní tajemství považovány. Druhá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>í strana je povinna výslovně uvést, že informace, které označila jako své obchodní tajemství, naplňují současně všechny definiční znaky obchodního tajemství, tak jak je vymezeno v</w:t>
      </w:r>
      <w:r w:rsidR="00F467D1">
        <w:rPr>
          <w:rFonts w:eastAsia="Calibri"/>
        </w:rPr>
        <w:t> </w:t>
      </w:r>
      <w:r w:rsidRPr="00D9782E">
        <w:rPr>
          <w:rFonts w:eastAsia="Calibri"/>
        </w:rPr>
        <w:t>ustanovení §</w:t>
      </w:r>
      <w:r w:rsidR="00F467D1">
        <w:rPr>
          <w:rFonts w:eastAsia="Calibri"/>
        </w:rPr>
        <w:t> </w:t>
      </w:r>
      <w:r w:rsidRPr="00D9782E">
        <w:rPr>
          <w:rFonts w:eastAsia="Calibri"/>
        </w:rPr>
        <w:t>504 občanského zákoníku, a zavazuje se neprodleně písemně sdělit Objednatel</w:t>
      </w:r>
      <w:r w:rsidR="00EA308A">
        <w:rPr>
          <w:rFonts w:eastAsia="Calibri"/>
        </w:rPr>
        <w:t>i</w:t>
      </w:r>
      <w:r w:rsidRPr="00D9782E">
        <w:rPr>
          <w:rFonts w:eastAsia="Calibri"/>
        </w:rPr>
        <w:t xml:space="preserve"> skutečnost, že takto označené informace přestaly naplňovat znaky obchodního tajemství.</w:t>
      </w:r>
    </w:p>
    <w:p w14:paraId="29F31D5D" w14:textId="3694A5E8" w:rsidR="004E1498" w:rsidRPr="00D9782E" w:rsidRDefault="004E1498" w:rsidP="001D576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u za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 xml:space="preserve">í strany souhlasí s uveřejněním svých osobních údajů, které jsou uvedeny v této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 xml:space="preserve">ě, spolu se </w:t>
      </w:r>
      <w:r w:rsidR="00382AE7">
        <w:rPr>
          <w:rFonts w:eastAsia="Calibri"/>
        </w:rPr>
        <w:t>smlouv</w:t>
      </w:r>
      <w:r w:rsidRPr="00D9782E">
        <w:rPr>
          <w:rFonts w:eastAsia="Calibri"/>
        </w:rPr>
        <w:t>ou v registru smluv. Tento souhlas je udělen na dobu neurčitou.</w:t>
      </w:r>
    </w:p>
    <w:p w14:paraId="4BD130E7" w14:textId="090DADEC" w:rsidR="004429CF" w:rsidRPr="00985EC7" w:rsidRDefault="006C7697" w:rsidP="001D576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F467D1">
        <w:rPr>
          <w:rFonts w:eastAsia="Calibri"/>
        </w:rPr>
        <w:t>smluvn</w:t>
      </w:r>
      <w:r w:rsidRPr="00D9782E">
        <w:rPr>
          <w:rFonts w:eastAsia="Calibri"/>
        </w:rPr>
        <w:t xml:space="preserve">ího vztahu se </w:t>
      </w:r>
      <w:r w:rsidR="00B54BB9">
        <w:rPr>
          <w:rFonts w:eastAsia="Calibri"/>
        </w:rPr>
        <w:t>Z</w:t>
      </w:r>
      <w:r w:rsidR="00B54BB9" w:rsidRPr="00D9782E">
        <w:rPr>
          <w:rFonts w:eastAsia="Calibri"/>
        </w:rPr>
        <w:t xml:space="preserve">hotovitel </w:t>
      </w:r>
      <w:r w:rsidRPr="00D9782E">
        <w:rPr>
          <w:rFonts w:eastAsia="Calibri"/>
        </w:rPr>
        <w:t xml:space="preserve">zavazuje přijmout vhodná technická a organizační opatření podle </w:t>
      </w:r>
      <w:r w:rsidRPr="00F467D1">
        <w:rPr>
          <w:rFonts w:eastAsia="Calibri"/>
          <w:i/>
          <w:iCs/>
        </w:rPr>
        <w:t>Nařízení Evropského parlamentu a Rady (EU) 2016/679 ze dne 27.</w:t>
      </w:r>
      <w:r w:rsidR="00F467D1" w:rsidRPr="00F467D1">
        <w:rPr>
          <w:rFonts w:eastAsia="Calibri"/>
          <w:i/>
          <w:iCs/>
        </w:rPr>
        <w:t> </w:t>
      </w:r>
      <w:r w:rsidRPr="00F467D1">
        <w:rPr>
          <w:rFonts w:eastAsia="Calibri"/>
          <w:i/>
          <w:iCs/>
        </w:rPr>
        <w:t>dubna 2016 o ochraně fyzických osob v souvislosti se zpracováním osobních údajů</w:t>
      </w:r>
      <w:r w:rsidRPr="006C7697">
        <w:rPr>
          <w:rFonts w:eastAsia="Calibri"/>
        </w:rPr>
        <w:t xml:space="preserve">, které se na něj jako na </w:t>
      </w:r>
      <w:r w:rsidR="00B54BB9">
        <w:rPr>
          <w:rFonts w:eastAsia="Calibri"/>
        </w:rPr>
        <w:t>Z</w:t>
      </w:r>
      <w:r w:rsidR="00B54BB9" w:rsidRPr="006C7697">
        <w:rPr>
          <w:rFonts w:eastAsia="Calibri"/>
        </w:rPr>
        <w:t xml:space="preserve">hotovitele </w:t>
      </w:r>
      <w:r w:rsidRPr="006C7697">
        <w:rPr>
          <w:rFonts w:eastAsia="Calibri"/>
        </w:rPr>
        <w:t xml:space="preserve">vztahují a plnění těchto povinností na vyžádání doložit </w:t>
      </w:r>
      <w:r w:rsidR="006875FA">
        <w:rPr>
          <w:rFonts w:eastAsia="Calibri"/>
        </w:rPr>
        <w:t>O</w:t>
      </w:r>
      <w:r w:rsidRPr="006C7697">
        <w:rPr>
          <w:rFonts w:eastAsia="Calibri"/>
        </w:rPr>
        <w:t>bjednatel</w:t>
      </w:r>
      <w:r w:rsidR="00EA308A">
        <w:rPr>
          <w:rFonts w:eastAsia="Calibri"/>
        </w:rPr>
        <w:t>i</w:t>
      </w:r>
      <w:r w:rsidRPr="006C7697">
        <w:rPr>
          <w:rFonts w:eastAsia="Calibri"/>
        </w:rPr>
        <w:t>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7F477BFB" w:rsidR="004E1498" w:rsidRPr="004E1498" w:rsidRDefault="004E1498" w:rsidP="001D5765">
      <w:pPr>
        <w:pStyle w:val="Nadpis2"/>
        <w:spacing w:before="120" w:line="264" w:lineRule="auto"/>
        <w:ind w:left="567"/>
        <w:contextualSpacing w:val="0"/>
      </w:pPr>
      <w:r w:rsidRPr="004E1498">
        <w:t xml:space="preserve">Tato </w:t>
      </w:r>
      <w:r w:rsidR="00382AE7">
        <w:t>smlouv</w:t>
      </w:r>
      <w:r w:rsidRPr="004E1498">
        <w:t xml:space="preserve">a se řídí </w:t>
      </w:r>
      <w:r w:rsidR="00F467D1">
        <w:t>o</w:t>
      </w:r>
      <w:r w:rsidRPr="004E1498">
        <w:t xml:space="preserve">bchodními podmínkami </w:t>
      </w:r>
      <w:r w:rsidR="00F467D1">
        <w:t xml:space="preserve">Správy železnic, státní organizace </w:t>
      </w:r>
      <w:r w:rsidRPr="004E1498">
        <w:t xml:space="preserve">ke </w:t>
      </w:r>
      <w:r w:rsidR="00382AE7">
        <w:t>smlouv</w:t>
      </w:r>
      <w:r w:rsidRPr="004E1498">
        <w:t>ě o dílo (dále jen „</w:t>
      </w:r>
      <w:r w:rsidRPr="00F467D1">
        <w:rPr>
          <w:b/>
          <w:bCs/>
        </w:rPr>
        <w:t>Obchodní podmínky</w:t>
      </w:r>
      <w:r w:rsidR="0086114C" w:rsidRPr="004E1498">
        <w:t>“)</w:t>
      </w:r>
      <w:r w:rsidR="005208B3">
        <w:t>, které tvoří přílohu č. </w:t>
      </w:r>
      <w:r w:rsidR="00986767">
        <w:t>2</w:t>
      </w:r>
      <w:r w:rsidR="00B54BB9">
        <w:t xml:space="preserve"> </w:t>
      </w:r>
      <w:proofErr w:type="gramStart"/>
      <w:r w:rsidR="005208B3">
        <w:t>této</w:t>
      </w:r>
      <w:proofErr w:type="gramEnd"/>
      <w:r w:rsidR="005208B3">
        <w:t xml:space="preserve"> smlouvy</w:t>
      </w:r>
      <w:r w:rsidRPr="004E1498">
        <w:t xml:space="preserve">. Odchylná ujednání ve </w:t>
      </w:r>
      <w:r w:rsidR="00382AE7">
        <w:t>smlouv</w:t>
      </w:r>
      <w:r w:rsidRPr="004E1498">
        <w:t>ě o dílo mají před zněním Obchodních podmínek přednost.</w:t>
      </w:r>
    </w:p>
    <w:p w14:paraId="208700BA" w14:textId="77777777" w:rsidR="004E1498" w:rsidRPr="004E1498" w:rsidRDefault="004E1498" w:rsidP="001D5765">
      <w:pPr>
        <w:pStyle w:val="Nadpis2"/>
        <w:spacing w:before="120" w:line="264" w:lineRule="auto"/>
        <w:ind w:left="567"/>
        <w:contextualSpacing w:val="0"/>
      </w:pPr>
      <w:r w:rsidRPr="004E1498">
        <w:t xml:space="preserve">Zhotovitel prohlašuje, že </w:t>
      </w:r>
    </w:p>
    <w:p w14:paraId="7633B164" w14:textId="3AA37596" w:rsidR="004E1498" w:rsidRPr="004E1498" w:rsidRDefault="004E1498" w:rsidP="001D5765">
      <w:pPr>
        <w:pStyle w:val="Nadpis3"/>
        <w:spacing w:before="120" w:line="264" w:lineRule="auto"/>
        <w:contextualSpacing w:val="0"/>
      </w:pPr>
      <w:r w:rsidRPr="004E1498">
        <w:t xml:space="preserve">se zněním Obchodních podmínek se před podpisem této </w:t>
      </w:r>
      <w:r w:rsidR="00382AE7">
        <w:t>smlouv</w:t>
      </w:r>
      <w:r w:rsidRPr="004E1498">
        <w:t>y seznámil,</w:t>
      </w:r>
    </w:p>
    <w:p w14:paraId="382930A8" w14:textId="3AD2AB45" w:rsidR="004E1498" w:rsidRPr="004E1498" w:rsidRDefault="004E1498" w:rsidP="001D5765">
      <w:pPr>
        <w:pStyle w:val="Nadpis3"/>
        <w:spacing w:before="120" w:line="264" w:lineRule="auto"/>
        <w:contextualSpacing w:val="0"/>
      </w:pPr>
      <w:r w:rsidRPr="004E1498">
        <w:t>v dostatečném rozsahu se seznámil s</w:t>
      </w:r>
      <w:r w:rsidR="00F467D1">
        <w:t> </w:t>
      </w:r>
      <w:r w:rsidRPr="004E1498">
        <w:t>veškerými požadavky Objednatel</w:t>
      </w:r>
      <w:r w:rsidR="00EA308A">
        <w:t>e</w:t>
      </w:r>
      <w:r w:rsidRPr="004E1498">
        <w:t xml:space="preserve"> dle této </w:t>
      </w:r>
      <w:r w:rsidR="00382AE7">
        <w:t>smlouv</w:t>
      </w:r>
      <w:r w:rsidR="00816B59">
        <w:t>y, přičemž si není vědom žádných</w:t>
      </w:r>
      <w:r w:rsidRPr="004E1498">
        <w:t xml:space="preserve"> překážek, které by mu bránily v poskytnutí sjednaného plnění v souladu s touto </w:t>
      </w:r>
      <w:r w:rsidR="00382AE7">
        <w:t>smlouv</w:t>
      </w:r>
      <w:r w:rsidRPr="004E1498">
        <w:t>ou.</w:t>
      </w:r>
    </w:p>
    <w:p w14:paraId="7C89F548" w14:textId="17A62F32" w:rsidR="006E6E61" w:rsidRPr="009C30C5" w:rsidRDefault="004A1DA5" w:rsidP="001D5765">
      <w:pPr>
        <w:pStyle w:val="Nadpis2"/>
        <w:spacing w:before="120" w:line="264" w:lineRule="auto"/>
        <w:ind w:left="567"/>
        <w:contextualSpacing w:val="0"/>
      </w:pPr>
      <w:r>
        <w:t xml:space="preserve">Tato </w:t>
      </w:r>
      <w:r w:rsidR="00382AE7">
        <w:t>smlouv</w:t>
      </w:r>
      <w:r>
        <w:t>a je vyhotovena v</w:t>
      </w:r>
      <w:r w:rsidR="00F467D1">
        <w:t> </w:t>
      </w:r>
      <w:r>
        <w:t xml:space="preserve">elektronické podobě, přičemž obě </w:t>
      </w:r>
      <w:r w:rsidR="00F467D1">
        <w:t>smluvn</w:t>
      </w:r>
      <w:r>
        <w:t>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 xml:space="preserve">ato </w:t>
      </w:r>
      <w:r w:rsidR="00382AE7">
        <w:t>smlouv</w:t>
      </w:r>
      <w:r w:rsidRPr="006E6E61">
        <w:t>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</w:t>
      </w:r>
      <w:r w:rsidR="00EA308A">
        <w:t>dvě</w:t>
      </w:r>
      <w:r w:rsidR="00F467D1">
        <w:t xml:space="preserve"> </w:t>
      </w:r>
      <w:r w:rsidR="006E6E61" w:rsidRPr="009C30C5">
        <w:t>vyhotovení</w:t>
      </w:r>
      <w:r w:rsidR="00F467D1">
        <w:t> </w:t>
      </w:r>
      <w:r w:rsidR="006E6E61" w:rsidRPr="009C30C5">
        <w:t>Objednatel.</w:t>
      </w:r>
    </w:p>
    <w:p w14:paraId="6AB23CD3" w14:textId="426B2814" w:rsidR="004E1498" w:rsidRPr="004E1498" w:rsidRDefault="004E1498" w:rsidP="001D5765">
      <w:pPr>
        <w:pStyle w:val="Nadpis2"/>
        <w:spacing w:before="120" w:line="264" w:lineRule="auto"/>
        <w:ind w:left="567" w:hanging="567"/>
        <w:contextualSpacing w:val="0"/>
      </w:pPr>
      <w:r w:rsidRPr="004E1498">
        <w:t xml:space="preserve">Veškerá práva a povinnosti </w:t>
      </w:r>
      <w:r w:rsidR="00F467D1">
        <w:t>smluvn</w:t>
      </w:r>
      <w:r w:rsidRPr="004E1498">
        <w:t>ích stran vyplývající z</w:t>
      </w:r>
      <w:r w:rsidR="00F467D1">
        <w:t> této</w:t>
      </w:r>
      <w:r w:rsidRPr="004E1498">
        <w:t xml:space="preserve"> </w:t>
      </w:r>
      <w:r w:rsidR="00382AE7">
        <w:t>smlouv</w:t>
      </w:r>
      <w:r w:rsidRPr="004E1498">
        <w:t>y a Obchodních podmínek se řídí českým právním řádem.</w:t>
      </w:r>
    </w:p>
    <w:p w14:paraId="52D451D4" w14:textId="76AF7BAB" w:rsidR="004E1498" w:rsidRPr="004E1498" w:rsidRDefault="00D9782E" w:rsidP="001D5765">
      <w:pPr>
        <w:pStyle w:val="Nadpis2"/>
        <w:spacing w:before="120" w:line="264" w:lineRule="auto"/>
        <w:ind w:left="567" w:hanging="567"/>
        <w:contextualSpacing w:val="0"/>
      </w:pPr>
      <w:r>
        <w:t>Sml</w:t>
      </w:r>
      <w:r w:rsidR="004E1498" w:rsidRPr="004E1498">
        <w:t xml:space="preserve">uvní vztahy neupravené </w:t>
      </w:r>
      <w:r w:rsidR="00F467D1">
        <w:t xml:space="preserve">touto </w:t>
      </w:r>
      <w:r w:rsidR="00382AE7">
        <w:t>smlouv</w:t>
      </w:r>
      <w:r w:rsidR="004E1498" w:rsidRPr="004E1498">
        <w:t>ou a Obchodními podmínkami se řídí Občanským zákoníkem a dalšími právními předpisy.</w:t>
      </w:r>
    </w:p>
    <w:p w14:paraId="3654106D" w14:textId="0765EC3A" w:rsidR="004E1498" w:rsidRPr="004E1498" w:rsidRDefault="004E1498" w:rsidP="001D5765">
      <w:pPr>
        <w:pStyle w:val="Nadpis2"/>
        <w:spacing w:before="120" w:line="264" w:lineRule="auto"/>
        <w:ind w:left="567" w:hanging="567"/>
        <w:contextualSpacing w:val="0"/>
      </w:pPr>
      <w:r w:rsidRPr="004E1498">
        <w:t>Všechny spory vznikající z</w:t>
      </w:r>
      <w:r w:rsidR="00F467D1">
        <w:t> této</w:t>
      </w:r>
      <w:r w:rsidRPr="004E1498">
        <w:t xml:space="preserve"> </w:t>
      </w:r>
      <w:r w:rsidR="00382AE7">
        <w:t>smlouv</w:t>
      </w:r>
      <w:r w:rsidRPr="004E1498">
        <w:t>y a v</w:t>
      </w:r>
      <w:r w:rsidR="00F467D1">
        <w:t> </w:t>
      </w:r>
      <w:r w:rsidRPr="004E1498">
        <w:t>souvislosti s</w:t>
      </w:r>
      <w:r w:rsidR="00F467D1">
        <w:t> </w:t>
      </w:r>
      <w:r w:rsidRPr="004E1498">
        <w:t xml:space="preserve">ní budou dle vůle </w:t>
      </w:r>
      <w:r w:rsidR="00F467D1">
        <w:t>smluvn</w:t>
      </w:r>
      <w:r w:rsidRPr="004E1498">
        <w:t>ích stran rozhodovány soudy České republiky, jakožto soudy výlučně příslušnými.</w:t>
      </w:r>
    </w:p>
    <w:p w14:paraId="5206FA57" w14:textId="73AFB849" w:rsidR="004E1498" w:rsidRPr="004E1498" w:rsidRDefault="00382AE7" w:rsidP="001D5765">
      <w:pPr>
        <w:pStyle w:val="Nadpis2"/>
        <w:spacing w:before="120" w:line="264" w:lineRule="auto"/>
        <w:ind w:left="567" w:hanging="567"/>
        <w:contextualSpacing w:val="0"/>
      </w:pPr>
      <w:r>
        <w:t>Smlouv</w:t>
      </w:r>
      <w:r w:rsidR="004E1498" w:rsidRPr="004E1498">
        <w:t>u o dílo lze měnit pouze písemnými dodatky.</w:t>
      </w:r>
    </w:p>
    <w:p w14:paraId="61C4AB3F" w14:textId="642B4A9C" w:rsidR="004E1498" w:rsidRPr="004E1498" w:rsidRDefault="004E1498" w:rsidP="001D5765">
      <w:pPr>
        <w:pStyle w:val="Nadpis2"/>
        <w:spacing w:before="120" w:line="264" w:lineRule="auto"/>
        <w:ind w:left="567" w:hanging="567"/>
        <w:contextualSpacing w:val="0"/>
      </w:pPr>
      <w:r w:rsidRPr="004E1498">
        <w:t xml:space="preserve">Pokud některá ustanovení Obchodních podmínek nebo jejich část nelze vzhledem k povaze Díla objektivně a zcela zřejmě použít, pak z takových ustanovení nebo jejich částí práva ani povinnosti </w:t>
      </w:r>
      <w:r w:rsidR="00F467D1">
        <w:t>smluvn</w:t>
      </w:r>
      <w:r w:rsidRPr="004E1498">
        <w:t>ím stranám nevznikají.</w:t>
      </w:r>
    </w:p>
    <w:p w14:paraId="4C1A93EA" w14:textId="2E9DA48D" w:rsidR="004E1498" w:rsidRPr="00B3486D" w:rsidRDefault="004E1498" w:rsidP="001D5765">
      <w:pPr>
        <w:pStyle w:val="Nadpis2"/>
        <w:spacing w:before="120" w:line="264" w:lineRule="auto"/>
        <w:ind w:left="567" w:hanging="567"/>
        <w:contextualSpacing w:val="0"/>
      </w:pPr>
      <w:r w:rsidRPr="00B3486D">
        <w:rPr>
          <w:rFonts w:eastAsia="Calibri"/>
        </w:rPr>
        <w:t xml:space="preserve">Tato </w:t>
      </w:r>
      <w:r w:rsidR="00382AE7">
        <w:rPr>
          <w:rFonts w:eastAsia="Calibri"/>
        </w:rPr>
        <w:t>smlouv</w:t>
      </w:r>
      <w:r w:rsidRPr="00B3486D">
        <w:rPr>
          <w:rFonts w:eastAsia="Calibri"/>
        </w:rPr>
        <w:t xml:space="preserve">a nabývá platnosti okamžikem podpisu poslední ze </w:t>
      </w:r>
      <w:r w:rsidR="00F467D1">
        <w:rPr>
          <w:rFonts w:eastAsia="Calibri"/>
        </w:rPr>
        <w:t>smluvn</w:t>
      </w:r>
      <w:r w:rsidRPr="00B3486D">
        <w:rPr>
          <w:rFonts w:eastAsia="Calibri"/>
        </w:rPr>
        <w:t xml:space="preserve">ích stran. Je-li </w:t>
      </w:r>
      <w:r w:rsidR="00382AE7">
        <w:rPr>
          <w:rFonts w:eastAsia="Calibri"/>
        </w:rPr>
        <w:t>smlouv</w:t>
      </w:r>
      <w:r w:rsidRPr="00B3486D">
        <w:rPr>
          <w:rFonts w:eastAsia="Calibri"/>
        </w:rPr>
        <w:t>a uveřejňována v registru smluv, nabývá účinnosti dnem uveřejnění v registru smluv, jinak je účinná od okamžiku uzavření.</w:t>
      </w:r>
    </w:p>
    <w:p w14:paraId="7BCD9A30" w14:textId="28C749C5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065D247" w14:textId="15801F7A" w:rsidR="00063DDA" w:rsidRDefault="00063DD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F4450DA" w14:textId="77777777" w:rsidR="00063DDA" w:rsidRPr="004E1498" w:rsidRDefault="00063DD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4" w:name="_GoBack"/>
      <w:bookmarkEnd w:id="4"/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0F47666C" w14:textId="0AC5D456" w:rsidR="00B3486D" w:rsidRDefault="00B3486D" w:rsidP="001D576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eastAsia="Times New Roman" w:cs="Times New Roman"/>
          <w:lang w:eastAsia="cs-CZ"/>
        </w:rPr>
      </w:pPr>
      <w:r w:rsidRPr="00C71609">
        <w:rPr>
          <w:rFonts w:eastAsia="Times New Roman" w:cs="Times New Roman"/>
          <w:lang w:eastAsia="cs-CZ"/>
        </w:rPr>
        <w:t>Bližší specifikace</w:t>
      </w:r>
    </w:p>
    <w:p w14:paraId="13EE68D9" w14:textId="77777777" w:rsidR="00986767" w:rsidRPr="00C71609" w:rsidRDefault="00986767" w:rsidP="0098676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/>
        <w:ind w:hanging="720"/>
        <w:contextualSpacing w:val="0"/>
        <w:textAlignment w:val="baseline"/>
      </w:pPr>
      <w:r w:rsidRPr="00C71609">
        <w:t>Obchodní podmínky</w:t>
      </w:r>
    </w:p>
    <w:p w14:paraId="64EEE3E6" w14:textId="3B09CEBF" w:rsidR="006E6E61" w:rsidRDefault="00B54BB9" w:rsidP="001D576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/>
        <w:ind w:hanging="720"/>
        <w:contextualSpacing w:val="0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Poddodavatelé</w:t>
      </w:r>
    </w:p>
    <w:p w14:paraId="4B15E5D7" w14:textId="77777777" w:rsidR="006C7697" w:rsidRDefault="006C7697" w:rsidP="001D5765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1D5765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</w:p>
    <w:p w14:paraId="63A374A3" w14:textId="0705831E" w:rsidR="00613238" w:rsidRDefault="00613238" w:rsidP="001D5765">
      <w:pPr>
        <w:spacing w:before="120" w:after="0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75D2B619" w14:textId="77777777" w:rsidR="00613238" w:rsidRDefault="00613238" w:rsidP="001D5765">
      <w:pPr>
        <w:spacing w:before="120" w:after="0"/>
        <w:rPr>
          <w:rFonts w:asciiTheme="majorHAnsi" w:hAnsiTheme="majorHAnsi"/>
        </w:rPr>
      </w:pPr>
    </w:p>
    <w:p w14:paraId="2FA0D040" w14:textId="77777777" w:rsidR="00613238" w:rsidRDefault="00613238" w:rsidP="001D5765">
      <w:pPr>
        <w:spacing w:before="120" w:after="0"/>
        <w:rPr>
          <w:rFonts w:asciiTheme="majorHAnsi" w:hAnsiTheme="majorHAnsi"/>
        </w:rPr>
      </w:pPr>
    </w:p>
    <w:p w14:paraId="4761E1C5" w14:textId="77777777" w:rsidR="00613238" w:rsidRDefault="00613238" w:rsidP="001D5765">
      <w:pPr>
        <w:spacing w:before="120" w:after="0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7ABF2BE" w:rsidR="00613238" w:rsidRDefault="00986767" w:rsidP="001D5765">
      <w:pPr>
        <w:spacing w:before="120" w:after="0"/>
        <w:rPr>
          <w:rFonts w:asciiTheme="majorHAnsi" w:hAnsiTheme="majorHAnsi"/>
        </w:rPr>
      </w:pPr>
      <w:r>
        <w:rPr>
          <w:b/>
          <w:noProof/>
        </w:rPr>
        <w:t>Ing. Aleš Krejčí</w:t>
      </w:r>
      <w:r w:rsidR="00613238" w:rsidRPr="00B3486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9510B88" w:rsidR="00D9782E" w:rsidRDefault="00986767" w:rsidP="001D5765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ekonomiku</w:t>
      </w:r>
    </w:p>
    <w:p w14:paraId="176904B0" w14:textId="32E586AA" w:rsidR="001D5765" w:rsidRDefault="001D5765" w:rsidP="001D5765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Calibri" w:cs="Times New Roman"/>
        </w:rPr>
      </w:pPr>
    </w:p>
    <w:p w14:paraId="0C5AFE32" w14:textId="77777777" w:rsidR="001D5765" w:rsidRDefault="001D5765" w:rsidP="001D5765">
      <w:pPr>
        <w:spacing w:before="120" w:after="0"/>
        <w:rPr>
          <w:rFonts w:asciiTheme="majorHAnsi" w:hAnsiTheme="majorHAnsi"/>
        </w:rPr>
      </w:pPr>
    </w:p>
    <w:sectPr w:rsidR="001D5765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6C94A" w14:textId="77777777" w:rsidR="005675B8" w:rsidRDefault="005675B8" w:rsidP="00962258">
      <w:pPr>
        <w:spacing w:after="0" w:line="240" w:lineRule="auto"/>
      </w:pPr>
      <w:r>
        <w:separator/>
      </w:r>
    </w:p>
  </w:endnote>
  <w:endnote w:type="continuationSeparator" w:id="0">
    <w:p w14:paraId="02C671E8" w14:textId="77777777" w:rsidR="005675B8" w:rsidRDefault="005675B8" w:rsidP="00962258">
      <w:pPr>
        <w:spacing w:after="0" w:line="240" w:lineRule="auto"/>
      </w:pPr>
      <w:r>
        <w:continuationSeparator/>
      </w:r>
    </w:p>
  </w:endnote>
  <w:endnote w:type="continuationNotice" w:id="1">
    <w:p w14:paraId="02D5749B" w14:textId="77777777" w:rsidR="005675B8" w:rsidRDefault="005675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486D" w14:paraId="17C75F2C" w14:textId="77777777" w:rsidTr="008A2E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577F8B8" w:rsidR="00B3486D" w:rsidRPr="00B8518B" w:rsidRDefault="00B3486D" w:rsidP="008A2E6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D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D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B3486D" w:rsidRDefault="00B3486D" w:rsidP="008A2E6F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B3486D" w:rsidRDefault="00B3486D" w:rsidP="008A2E6F">
          <w:pPr>
            <w:pStyle w:val="Zpat"/>
          </w:pPr>
        </w:p>
      </w:tc>
      <w:tc>
        <w:tcPr>
          <w:tcW w:w="2921" w:type="dxa"/>
        </w:tcPr>
        <w:p w14:paraId="0366BF59" w14:textId="77777777" w:rsidR="00B3486D" w:rsidRDefault="00B3486D" w:rsidP="008A2E6F">
          <w:pPr>
            <w:pStyle w:val="Zpat"/>
          </w:pPr>
        </w:p>
      </w:tc>
    </w:tr>
  </w:tbl>
  <w:p w14:paraId="6838673E" w14:textId="77777777" w:rsidR="00B3486D" w:rsidRPr="00B8518B" w:rsidRDefault="00B348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D1A3D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4418B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486D" w14:paraId="3EEAE6A9" w14:textId="77777777" w:rsidTr="008A2E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B973B87" w:rsidR="00B3486D" w:rsidRPr="00B8518B" w:rsidRDefault="00B3486D" w:rsidP="008A2E6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D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D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B3486D" w:rsidRDefault="00B3486D" w:rsidP="008A2E6F">
          <w:pPr>
            <w:pStyle w:val="Zpat"/>
          </w:pPr>
          <w:r>
            <w:t>Správa železnic, státní organizace</w:t>
          </w:r>
        </w:p>
        <w:p w14:paraId="18D9786B" w14:textId="77777777" w:rsidR="00B3486D" w:rsidRDefault="00B3486D" w:rsidP="008A2E6F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B3486D" w:rsidRDefault="00B3486D" w:rsidP="008A2E6F">
          <w:pPr>
            <w:pStyle w:val="Zpat"/>
          </w:pPr>
          <w:r>
            <w:t>Sídlo: Dlážděná 1003/7, 110 00 Praha 1</w:t>
          </w:r>
        </w:p>
        <w:p w14:paraId="528FD792" w14:textId="77777777" w:rsidR="00B3486D" w:rsidRDefault="00B3486D" w:rsidP="008A2E6F">
          <w:pPr>
            <w:pStyle w:val="Zpat"/>
          </w:pPr>
          <w:r>
            <w:t>IČ: 709 94 234 DIČ: CZ 709 94 234</w:t>
          </w:r>
        </w:p>
        <w:p w14:paraId="734DD67A" w14:textId="68750E5C" w:rsidR="00B3486D" w:rsidRDefault="00B3486D" w:rsidP="008A2E6F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B3486D" w:rsidRDefault="00B3486D" w:rsidP="008A2E6F">
          <w:pPr>
            <w:pStyle w:val="Zpat"/>
          </w:pPr>
        </w:p>
      </w:tc>
    </w:tr>
  </w:tbl>
  <w:p w14:paraId="0935A879" w14:textId="77777777" w:rsidR="00B3486D" w:rsidRPr="00B8518B" w:rsidRDefault="00B348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B9E24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4AB6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B3486D" w:rsidRPr="00460660" w:rsidRDefault="00B348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BA3B6" w14:textId="77777777" w:rsidR="005675B8" w:rsidRDefault="005675B8" w:rsidP="00962258">
      <w:pPr>
        <w:spacing w:after="0" w:line="240" w:lineRule="auto"/>
      </w:pPr>
      <w:r>
        <w:separator/>
      </w:r>
    </w:p>
  </w:footnote>
  <w:footnote w:type="continuationSeparator" w:id="0">
    <w:p w14:paraId="37E1091E" w14:textId="77777777" w:rsidR="005675B8" w:rsidRDefault="005675B8" w:rsidP="00962258">
      <w:pPr>
        <w:spacing w:after="0" w:line="240" w:lineRule="auto"/>
      </w:pPr>
      <w:r>
        <w:continuationSeparator/>
      </w:r>
    </w:p>
  </w:footnote>
  <w:footnote w:type="continuationNotice" w:id="1">
    <w:p w14:paraId="3D0676E7" w14:textId="77777777" w:rsidR="005675B8" w:rsidRDefault="005675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434C0FD9" w:rsidR="00B3486D" w:rsidRDefault="00B3486D" w:rsidP="00EF0E57">
    <w:pPr>
      <w:pStyle w:val="Zhlav"/>
      <w:jc w:val="center"/>
      <w:rPr>
        <w:sz w:val="8"/>
        <w:szCs w:val="8"/>
      </w:rPr>
    </w:pPr>
  </w:p>
  <w:p w14:paraId="4EAA341A" w14:textId="77777777" w:rsidR="00EF0E57" w:rsidRDefault="00EF0E57" w:rsidP="00EF0E57">
    <w:pPr>
      <w:pStyle w:val="Zhlav"/>
      <w:jc w:val="center"/>
      <w:rPr>
        <w:sz w:val="8"/>
        <w:szCs w:val="8"/>
      </w:rPr>
    </w:pPr>
  </w:p>
  <w:p w14:paraId="729DA4B5" w14:textId="77777777" w:rsidR="00EF0E57" w:rsidRDefault="00EF0E57" w:rsidP="00EF0E57">
    <w:pPr>
      <w:pStyle w:val="Zhlav"/>
      <w:jc w:val="center"/>
      <w:rPr>
        <w:sz w:val="8"/>
        <w:szCs w:val="8"/>
      </w:rPr>
    </w:pPr>
  </w:p>
  <w:p w14:paraId="24C496BC" w14:textId="77777777" w:rsidR="00EF0E57" w:rsidRPr="00D6163D" w:rsidRDefault="00EF0E57" w:rsidP="00EF0E57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48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B3486D" w:rsidRPr="00B8518B" w:rsidRDefault="00B3486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B3486D" w:rsidRDefault="00B348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B3486D" w:rsidRPr="00D6163D" w:rsidRDefault="00B3486D" w:rsidP="00FC6389">
          <w:pPr>
            <w:pStyle w:val="Druhdokumentu"/>
          </w:pPr>
        </w:p>
      </w:tc>
    </w:tr>
    <w:tr w:rsidR="00B348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B3486D" w:rsidRPr="00B8518B" w:rsidRDefault="00B348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B3486D" w:rsidRDefault="00B348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B3486D" w:rsidRPr="00D6163D" w:rsidRDefault="00B3486D" w:rsidP="00FC6389">
          <w:pPr>
            <w:pStyle w:val="Druhdokumentu"/>
          </w:pPr>
        </w:p>
      </w:tc>
    </w:tr>
  </w:tbl>
  <w:p w14:paraId="4D4AA505" w14:textId="5DD24FDB" w:rsidR="00B3486D" w:rsidRPr="00D6163D" w:rsidRDefault="00B3486D" w:rsidP="00FC6389">
    <w:pPr>
      <w:pStyle w:val="Zhlav"/>
      <w:rPr>
        <w:sz w:val="8"/>
        <w:szCs w:val="8"/>
      </w:rPr>
    </w:pPr>
  </w:p>
  <w:p w14:paraId="43A9937F" w14:textId="77777777" w:rsidR="00B3486D" w:rsidRPr="00460660" w:rsidRDefault="00B348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743667"/>
    <w:multiLevelType w:val="hybridMultilevel"/>
    <w:tmpl w:val="E23A7088"/>
    <w:lvl w:ilvl="0" w:tplc="70667C24">
      <w:numFmt w:val="bullet"/>
      <w:lvlText w:val="-"/>
      <w:lvlJc w:val="left"/>
      <w:pPr>
        <w:ind w:left="12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B14AED"/>
    <w:multiLevelType w:val="hybridMultilevel"/>
    <w:tmpl w:val="300202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A27A8"/>
    <w:multiLevelType w:val="hybridMultilevel"/>
    <w:tmpl w:val="F90265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C761E4"/>
    <w:multiLevelType w:val="hybridMultilevel"/>
    <w:tmpl w:val="887A3F56"/>
    <w:lvl w:ilvl="0" w:tplc="9FE8198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1EE5"/>
    <w:multiLevelType w:val="hybridMultilevel"/>
    <w:tmpl w:val="BA32879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61543A"/>
    <w:multiLevelType w:val="hybridMultilevel"/>
    <w:tmpl w:val="B9906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5"/>
  </w:num>
  <w:num w:numId="5">
    <w:abstractNumId w:val="8"/>
  </w:num>
  <w:num w:numId="6">
    <w:abstractNumId w:val="0"/>
  </w:num>
  <w:num w:numId="7">
    <w:abstractNumId w:val="10"/>
  </w:num>
  <w:num w:numId="8">
    <w:abstractNumId w:val="26"/>
  </w:num>
  <w:num w:numId="9">
    <w:abstractNumId w:val="12"/>
  </w:num>
  <w:num w:numId="10">
    <w:abstractNumId w:val="6"/>
  </w:num>
  <w:num w:numId="11">
    <w:abstractNumId w:val="2"/>
  </w:num>
  <w:num w:numId="12">
    <w:abstractNumId w:val="21"/>
  </w:num>
  <w:num w:numId="13">
    <w:abstractNumId w:val="24"/>
  </w:num>
  <w:num w:numId="14">
    <w:abstractNumId w:val="4"/>
  </w:num>
  <w:num w:numId="15">
    <w:abstractNumId w:val="27"/>
  </w:num>
  <w:num w:numId="16">
    <w:abstractNumId w:val="14"/>
  </w:num>
  <w:num w:numId="17">
    <w:abstractNumId w:val="7"/>
  </w:num>
  <w:num w:numId="18">
    <w:abstractNumId w:val="9"/>
  </w:num>
  <w:num w:numId="19">
    <w:abstractNumId w:val="18"/>
  </w:num>
  <w:num w:numId="20">
    <w:abstractNumId w:val="15"/>
  </w:num>
  <w:num w:numId="21">
    <w:abstractNumId w:val="7"/>
  </w:num>
  <w:num w:numId="22">
    <w:abstractNumId w:val="23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13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17"/>
  </w:num>
  <w:num w:numId="42">
    <w:abstractNumId w:val="11"/>
  </w:num>
  <w:num w:numId="43">
    <w:abstractNumId w:val="22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  <w:num w:numId="50">
    <w:abstractNumId w:val="16"/>
  </w:num>
  <w:num w:numId="51">
    <w:abstractNumId w:val="20"/>
  </w:num>
  <w:num w:numId="52">
    <w:abstractNumId w:val="7"/>
  </w:num>
  <w:num w:numId="53">
    <w:abstractNumId w:val="7"/>
  </w:num>
  <w:num w:numId="54">
    <w:abstractNumId w:val="7"/>
  </w:num>
  <w:num w:numId="55">
    <w:abstractNumId w:val="7"/>
  </w:num>
  <w:num w:numId="56">
    <w:abstractNumId w:val="7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732A"/>
    <w:rsid w:val="000223BE"/>
    <w:rsid w:val="0005443A"/>
    <w:rsid w:val="000635B3"/>
    <w:rsid w:val="00063DDA"/>
    <w:rsid w:val="000645D6"/>
    <w:rsid w:val="00072C1E"/>
    <w:rsid w:val="00073A69"/>
    <w:rsid w:val="000814B9"/>
    <w:rsid w:val="000853E9"/>
    <w:rsid w:val="00085F8D"/>
    <w:rsid w:val="00090DCE"/>
    <w:rsid w:val="000A0E07"/>
    <w:rsid w:val="000A13BC"/>
    <w:rsid w:val="000A3F85"/>
    <w:rsid w:val="000A403A"/>
    <w:rsid w:val="000B324A"/>
    <w:rsid w:val="000C1E09"/>
    <w:rsid w:val="000D278B"/>
    <w:rsid w:val="000E23A7"/>
    <w:rsid w:val="000F0761"/>
    <w:rsid w:val="000F35DC"/>
    <w:rsid w:val="00105CB1"/>
    <w:rsid w:val="0010693F"/>
    <w:rsid w:val="00107B53"/>
    <w:rsid w:val="00107E5E"/>
    <w:rsid w:val="00114472"/>
    <w:rsid w:val="0011507E"/>
    <w:rsid w:val="00123A84"/>
    <w:rsid w:val="0013379C"/>
    <w:rsid w:val="001409F3"/>
    <w:rsid w:val="00141857"/>
    <w:rsid w:val="001438E8"/>
    <w:rsid w:val="001550BC"/>
    <w:rsid w:val="001605B9"/>
    <w:rsid w:val="00163104"/>
    <w:rsid w:val="00170EC5"/>
    <w:rsid w:val="001747C1"/>
    <w:rsid w:val="00184743"/>
    <w:rsid w:val="00193A76"/>
    <w:rsid w:val="001969EA"/>
    <w:rsid w:val="001A6752"/>
    <w:rsid w:val="001C0FC2"/>
    <w:rsid w:val="001C298C"/>
    <w:rsid w:val="001C3D97"/>
    <w:rsid w:val="001D1A77"/>
    <w:rsid w:val="001D3AFC"/>
    <w:rsid w:val="001D5765"/>
    <w:rsid w:val="001D68A6"/>
    <w:rsid w:val="001D712D"/>
    <w:rsid w:val="001F0704"/>
    <w:rsid w:val="002056E2"/>
    <w:rsid w:val="00207DF5"/>
    <w:rsid w:val="0021047F"/>
    <w:rsid w:val="00216193"/>
    <w:rsid w:val="002313EA"/>
    <w:rsid w:val="00236F43"/>
    <w:rsid w:val="0025341D"/>
    <w:rsid w:val="002566F0"/>
    <w:rsid w:val="00275474"/>
    <w:rsid w:val="00280E07"/>
    <w:rsid w:val="00281098"/>
    <w:rsid w:val="0029605F"/>
    <w:rsid w:val="002B44C9"/>
    <w:rsid w:val="002B5041"/>
    <w:rsid w:val="002C31BF"/>
    <w:rsid w:val="002C66CB"/>
    <w:rsid w:val="002C6705"/>
    <w:rsid w:val="002D08B1"/>
    <w:rsid w:val="002D6523"/>
    <w:rsid w:val="002D7047"/>
    <w:rsid w:val="002E0CD7"/>
    <w:rsid w:val="002E47B9"/>
    <w:rsid w:val="002F321B"/>
    <w:rsid w:val="003013FA"/>
    <w:rsid w:val="003071BD"/>
    <w:rsid w:val="00326676"/>
    <w:rsid w:val="00327270"/>
    <w:rsid w:val="003303B4"/>
    <w:rsid w:val="00341DCF"/>
    <w:rsid w:val="00351491"/>
    <w:rsid w:val="00356254"/>
    <w:rsid w:val="00357BC6"/>
    <w:rsid w:val="00365AD9"/>
    <w:rsid w:val="0038033B"/>
    <w:rsid w:val="0038088E"/>
    <w:rsid w:val="00382AE7"/>
    <w:rsid w:val="003869E8"/>
    <w:rsid w:val="00390616"/>
    <w:rsid w:val="003956C6"/>
    <w:rsid w:val="00396267"/>
    <w:rsid w:val="003A0DCF"/>
    <w:rsid w:val="003A4D59"/>
    <w:rsid w:val="003B0253"/>
    <w:rsid w:val="003B39EC"/>
    <w:rsid w:val="003B5DD6"/>
    <w:rsid w:val="003B5FC3"/>
    <w:rsid w:val="003D1F1E"/>
    <w:rsid w:val="003D703A"/>
    <w:rsid w:val="003D7991"/>
    <w:rsid w:val="003D7E9F"/>
    <w:rsid w:val="003F0EF1"/>
    <w:rsid w:val="003F20D8"/>
    <w:rsid w:val="00401303"/>
    <w:rsid w:val="0042314E"/>
    <w:rsid w:val="00431925"/>
    <w:rsid w:val="004350AC"/>
    <w:rsid w:val="00441430"/>
    <w:rsid w:val="004416D1"/>
    <w:rsid w:val="004429CF"/>
    <w:rsid w:val="00443CDA"/>
    <w:rsid w:val="00450F07"/>
    <w:rsid w:val="00453CD3"/>
    <w:rsid w:val="00460660"/>
    <w:rsid w:val="00461D32"/>
    <w:rsid w:val="0047161E"/>
    <w:rsid w:val="00472D4C"/>
    <w:rsid w:val="0047677B"/>
    <w:rsid w:val="00477CFE"/>
    <w:rsid w:val="00486107"/>
    <w:rsid w:val="00491827"/>
    <w:rsid w:val="00493B1B"/>
    <w:rsid w:val="00497F6E"/>
    <w:rsid w:val="004A1DA5"/>
    <w:rsid w:val="004A6222"/>
    <w:rsid w:val="004B348C"/>
    <w:rsid w:val="004B40DE"/>
    <w:rsid w:val="004C4399"/>
    <w:rsid w:val="004C446A"/>
    <w:rsid w:val="004C728D"/>
    <w:rsid w:val="004C787C"/>
    <w:rsid w:val="004D1838"/>
    <w:rsid w:val="004D386A"/>
    <w:rsid w:val="004E143C"/>
    <w:rsid w:val="004E1498"/>
    <w:rsid w:val="004E3A53"/>
    <w:rsid w:val="004F4B9B"/>
    <w:rsid w:val="0050252F"/>
    <w:rsid w:val="005062F4"/>
    <w:rsid w:val="00511AB9"/>
    <w:rsid w:val="00514D8A"/>
    <w:rsid w:val="005159F1"/>
    <w:rsid w:val="00516296"/>
    <w:rsid w:val="005208B3"/>
    <w:rsid w:val="00522467"/>
    <w:rsid w:val="00523B8E"/>
    <w:rsid w:val="00523EA7"/>
    <w:rsid w:val="00527421"/>
    <w:rsid w:val="00537B7A"/>
    <w:rsid w:val="00537B95"/>
    <w:rsid w:val="00551AD6"/>
    <w:rsid w:val="00553375"/>
    <w:rsid w:val="0056418D"/>
    <w:rsid w:val="00564CE1"/>
    <w:rsid w:val="005675B8"/>
    <w:rsid w:val="005709A9"/>
    <w:rsid w:val="005736B7"/>
    <w:rsid w:val="005740C3"/>
    <w:rsid w:val="005759B6"/>
    <w:rsid w:val="00575E5A"/>
    <w:rsid w:val="00592757"/>
    <w:rsid w:val="00593A99"/>
    <w:rsid w:val="00597E84"/>
    <w:rsid w:val="005A5820"/>
    <w:rsid w:val="005B28A0"/>
    <w:rsid w:val="005B76DD"/>
    <w:rsid w:val="005C2B4B"/>
    <w:rsid w:val="005D2005"/>
    <w:rsid w:val="005D5624"/>
    <w:rsid w:val="005E5BB9"/>
    <w:rsid w:val="005E6755"/>
    <w:rsid w:val="005F1404"/>
    <w:rsid w:val="005F5169"/>
    <w:rsid w:val="005F7717"/>
    <w:rsid w:val="005F772B"/>
    <w:rsid w:val="0060520C"/>
    <w:rsid w:val="006067E3"/>
    <w:rsid w:val="00606809"/>
    <w:rsid w:val="0061068E"/>
    <w:rsid w:val="00613238"/>
    <w:rsid w:val="00616546"/>
    <w:rsid w:val="006566F7"/>
    <w:rsid w:val="00657811"/>
    <w:rsid w:val="00660AD3"/>
    <w:rsid w:val="00677B7F"/>
    <w:rsid w:val="006869AE"/>
    <w:rsid w:val="006875FA"/>
    <w:rsid w:val="00691949"/>
    <w:rsid w:val="006A3264"/>
    <w:rsid w:val="006A5570"/>
    <w:rsid w:val="006A689C"/>
    <w:rsid w:val="006B3D79"/>
    <w:rsid w:val="006B747E"/>
    <w:rsid w:val="006C5425"/>
    <w:rsid w:val="006C7697"/>
    <w:rsid w:val="006D7AFE"/>
    <w:rsid w:val="006E0578"/>
    <w:rsid w:val="006E314D"/>
    <w:rsid w:val="006E6E61"/>
    <w:rsid w:val="006F4F1C"/>
    <w:rsid w:val="006F67FF"/>
    <w:rsid w:val="007014E1"/>
    <w:rsid w:val="007061F8"/>
    <w:rsid w:val="00710723"/>
    <w:rsid w:val="007114AE"/>
    <w:rsid w:val="00723ED1"/>
    <w:rsid w:val="00726BD5"/>
    <w:rsid w:val="007276C7"/>
    <w:rsid w:val="00735C64"/>
    <w:rsid w:val="00743525"/>
    <w:rsid w:val="007509D3"/>
    <w:rsid w:val="007510DD"/>
    <w:rsid w:val="007515DE"/>
    <w:rsid w:val="00753EBA"/>
    <w:rsid w:val="00754E6B"/>
    <w:rsid w:val="0075551F"/>
    <w:rsid w:val="00756BBA"/>
    <w:rsid w:val="0076286B"/>
    <w:rsid w:val="00765A52"/>
    <w:rsid w:val="00766846"/>
    <w:rsid w:val="007756D6"/>
    <w:rsid w:val="0077673A"/>
    <w:rsid w:val="00782842"/>
    <w:rsid w:val="007846E1"/>
    <w:rsid w:val="0079702F"/>
    <w:rsid w:val="007A0C04"/>
    <w:rsid w:val="007B570C"/>
    <w:rsid w:val="007C01CD"/>
    <w:rsid w:val="007C0410"/>
    <w:rsid w:val="007C07C9"/>
    <w:rsid w:val="007C589B"/>
    <w:rsid w:val="007D44B9"/>
    <w:rsid w:val="007D6BC6"/>
    <w:rsid w:val="007E495E"/>
    <w:rsid w:val="007E4A6E"/>
    <w:rsid w:val="007E5256"/>
    <w:rsid w:val="007F56A7"/>
    <w:rsid w:val="007F6695"/>
    <w:rsid w:val="008026EB"/>
    <w:rsid w:val="00807DD0"/>
    <w:rsid w:val="00810E9B"/>
    <w:rsid w:val="00814F80"/>
    <w:rsid w:val="00816B59"/>
    <w:rsid w:val="00845DC2"/>
    <w:rsid w:val="00845FA0"/>
    <w:rsid w:val="00846DF9"/>
    <w:rsid w:val="0084768D"/>
    <w:rsid w:val="00856D89"/>
    <w:rsid w:val="0086114C"/>
    <w:rsid w:val="00861A12"/>
    <w:rsid w:val="008659F3"/>
    <w:rsid w:val="00886D4B"/>
    <w:rsid w:val="00892992"/>
    <w:rsid w:val="00893A74"/>
    <w:rsid w:val="00895406"/>
    <w:rsid w:val="008A2E6F"/>
    <w:rsid w:val="008A3568"/>
    <w:rsid w:val="008A433E"/>
    <w:rsid w:val="008B6021"/>
    <w:rsid w:val="008C1C58"/>
    <w:rsid w:val="008D03B9"/>
    <w:rsid w:val="008E1E86"/>
    <w:rsid w:val="008F0762"/>
    <w:rsid w:val="008F18D6"/>
    <w:rsid w:val="008F7DFE"/>
    <w:rsid w:val="00904780"/>
    <w:rsid w:val="00922385"/>
    <w:rsid w:val="009223DF"/>
    <w:rsid w:val="009238AE"/>
    <w:rsid w:val="00934555"/>
    <w:rsid w:val="00936091"/>
    <w:rsid w:val="00940D8A"/>
    <w:rsid w:val="0094188C"/>
    <w:rsid w:val="00950C1F"/>
    <w:rsid w:val="00956C8E"/>
    <w:rsid w:val="00956CA4"/>
    <w:rsid w:val="00962258"/>
    <w:rsid w:val="00962E58"/>
    <w:rsid w:val="009678B7"/>
    <w:rsid w:val="00981113"/>
    <w:rsid w:val="00982B1D"/>
    <w:rsid w:val="00982BC9"/>
    <w:rsid w:val="009833E1"/>
    <w:rsid w:val="00985EC7"/>
    <w:rsid w:val="00986767"/>
    <w:rsid w:val="00992D9C"/>
    <w:rsid w:val="00996CB8"/>
    <w:rsid w:val="009A0078"/>
    <w:rsid w:val="009A0F4B"/>
    <w:rsid w:val="009B14A9"/>
    <w:rsid w:val="009B2E97"/>
    <w:rsid w:val="009B35BC"/>
    <w:rsid w:val="009B4030"/>
    <w:rsid w:val="009C30C5"/>
    <w:rsid w:val="009D1230"/>
    <w:rsid w:val="009D1706"/>
    <w:rsid w:val="009D6B35"/>
    <w:rsid w:val="009E07F4"/>
    <w:rsid w:val="009E0F69"/>
    <w:rsid w:val="009F392E"/>
    <w:rsid w:val="00A021CC"/>
    <w:rsid w:val="00A02EE7"/>
    <w:rsid w:val="00A076CB"/>
    <w:rsid w:val="00A13705"/>
    <w:rsid w:val="00A157FE"/>
    <w:rsid w:val="00A2611C"/>
    <w:rsid w:val="00A363AA"/>
    <w:rsid w:val="00A45FC6"/>
    <w:rsid w:val="00A53FA2"/>
    <w:rsid w:val="00A605AE"/>
    <w:rsid w:val="00A6177B"/>
    <w:rsid w:val="00A66136"/>
    <w:rsid w:val="00A76699"/>
    <w:rsid w:val="00A8370A"/>
    <w:rsid w:val="00A85F91"/>
    <w:rsid w:val="00AA4CBB"/>
    <w:rsid w:val="00AA65FA"/>
    <w:rsid w:val="00AA7351"/>
    <w:rsid w:val="00AB6759"/>
    <w:rsid w:val="00AC3A6F"/>
    <w:rsid w:val="00AD056F"/>
    <w:rsid w:val="00AD6731"/>
    <w:rsid w:val="00AD7371"/>
    <w:rsid w:val="00AE226A"/>
    <w:rsid w:val="00AE6646"/>
    <w:rsid w:val="00AF0AAA"/>
    <w:rsid w:val="00AF11FA"/>
    <w:rsid w:val="00B1459B"/>
    <w:rsid w:val="00B15D0D"/>
    <w:rsid w:val="00B17679"/>
    <w:rsid w:val="00B22ACE"/>
    <w:rsid w:val="00B26CE0"/>
    <w:rsid w:val="00B27209"/>
    <w:rsid w:val="00B32B63"/>
    <w:rsid w:val="00B3452A"/>
    <w:rsid w:val="00B3486D"/>
    <w:rsid w:val="00B35D7F"/>
    <w:rsid w:val="00B365D2"/>
    <w:rsid w:val="00B545C1"/>
    <w:rsid w:val="00B54BB9"/>
    <w:rsid w:val="00B56421"/>
    <w:rsid w:val="00B71126"/>
    <w:rsid w:val="00B748DD"/>
    <w:rsid w:val="00B75EE1"/>
    <w:rsid w:val="00B77481"/>
    <w:rsid w:val="00B8518B"/>
    <w:rsid w:val="00B87C49"/>
    <w:rsid w:val="00B907D2"/>
    <w:rsid w:val="00B95694"/>
    <w:rsid w:val="00B95AF1"/>
    <w:rsid w:val="00BA00AC"/>
    <w:rsid w:val="00BA6320"/>
    <w:rsid w:val="00BB184D"/>
    <w:rsid w:val="00BC4DC9"/>
    <w:rsid w:val="00BC6B43"/>
    <w:rsid w:val="00BD7E91"/>
    <w:rsid w:val="00BE2C7F"/>
    <w:rsid w:val="00BE5F8D"/>
    <w:rsid w:val="00BF0272"/>
    <w:rsid w:val="00C02D0A"/>
    <w:rsid w:val="00C03A6E"/>
    <w:rsid w:val="00C07C8E"/>
    <w:rsid w:val="00C22949"/>
    <w:rsid w:val="00C31924"/>
    <w:rsid w:val="00C35AE5"/>
    <w:rsid w:val="00C42A1F"/>
    <w:rsid w:val="00C44F6A"/>
    <w:rsid w:val="00C47AE3"/>
    <w:rsid w:val="00C54B70"/>
    <w:rsid w:val="00C56277"/>
    <w:rsid w:val="00C606F7"/>
    <w:rsid w:val="00C70C50"/>
    <w:rsid w:val="00C70EC1"/>
    <w:rsid w:val="00C71609"/>
    <w:rsid w:val="00C75562"/>
    <w:rsid w:val="00CB53B1"/>
    <w:rsid w:val="00CC03A2"/>
    <w:rsid w:val="00CC6991"/>
    <w:rsid w:val="00CD1FC4"/>
    <w:rsid w:val="00CE1EDC"/>
    <w:rsid w:val="00D21061"/>
    <w:rsid w:val="00D33DEC"/>
    <w:rsid w:val="00D35A69"/>
    <w:rsid w:val="00D4108E"/>
    <w:rsid w:val="00D467CA"/>
    <w:rsid w:val="00D6163D"/>
    <w:rsid w:val="00D657AD"/>
    <w:rsid w:val="00D66CB8"/>
    <w:rsid w:val="00D71FC4"/>
    <w:rsid w:val="00D76037"/>
    <w:rsid w:val="00D831A3"/>
    <w:rsid w:val="00D85C5B"/>
    <w:rsid w:val="00D9782E"/>
    <w:rsid w:val="00DB210B"/>
    <w:rsid w:val="00DC60C3"/>
    <w:rsid w:val="00DC75F3"/>
    <w:rsid w:val="00DD18A5"/>
    <w:rsid w:val="00DD46F3"/>
    <w:rsid w:val="00DD5B09"/>
    <w:rsid w:val="00DE0A3A"/>
    <w:rsid w:val="00DE56F2"/>
    <w:rsid w:val="00DF116D"/>
    <w:rsid w:val="00DF19F2"/>
    <w:rsid w:val="00DF3037"/>
    <w:rsid w:val="00DF6542"/>
    <w:rsid w:val="00E017C5"/>
    <w:rsid w:val="00E026E7"/>
    <w:rsid w:val="00E22212"/>
    <w:rsid w:val="00E35676"/>
    <w:rsid w:val="00E36C44"/>
    <w:rsid w:val="00E5401E"/>
    <w:rsid w:val="00E55F3F"/>
    <w:rsid w:val="00E606CB"/>
    <w:rsid w:val="00E6406C"/>
    <w:rsid w:val="00E70966"/>
    <w:rsid w:val="00E7732D"/>
    <w:rsid w:val="00EA2014"/>
    <w:rsid w:val="00EA308A"/>
    <w:rsid w:val="00EA7779"/>
    <w:rsid w:val="00EB104F"/>
    <w:rsid w:val="00EB3B0B"/>
    <w:rsid w:val="00EC0F0F"/>
    <w:rsid w:val="00EC0FD5"/>
    <w:rsid w:val="00EC668A"/>
    <w:rsid w:val="00ED14BD"/>
    <w:rsid w:val="00EE4895"/>
    <w:rsid w:val="00EF0E57"/>
    <w:rsid w:val="00EF1804"/>
    <w:rsid w:val="00EF1E2D"/>
    <w:rsid w:val="00EF4317"/>
    <w:rsid w:val="00F0533E"/>
    <w:rsid w:val="00F1048D"/>
    <w:rsid w:val="00F12C80"/>
    <w:rsid w:val="00F12DEC"/>
    <w:rsid w:val="00F1715C"/>
    <w:rsid w:val="00F267E7"/>
    <w:rsid w:val="00F31091"/>
    <w:rsid w:val="00F310F8"/>
    <w:rsid w:val="00F35939"/>
    <w:rsid w:val="00F43B44"/>
    <w:rsid w:val="00F45607"/>
    <w:rsid w:val="00F467D1"/>
    <w:rsid w:val="00F47366"/>
    <w:rsid w:val="00F56978"/>
    <w:rsid w:val="00F60F94"/>
    <w:rsid w:val="00F659EB"/>
    <w:rsid w:val="00F867BB"/>
    <w:rsid w:val="00F86BA6"/>
    <w:rsid w:val="00F969C4"/>
    <w:rsid w:val="00FA32F8"/>
    <w:rsid w:val="00FC0D34"/>
    <w:rsid w:val="00FC172A"/>
    <w:rsid w:val="00FC41EC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7D53D674-70C7-43E9-A911-A7E75BC2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BFD81-68AC-4D69-BB54-E220B352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1492</Words>
  <Characters>8803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4</cp:revision>
  <cp:lastPrinted>2017-11-28T17:18:00Z</cp:lastPrinted>
  <dcterms:created xsi:type="dcterms:W3CDTF">2021-12-16T06:19:00Z</dcterms:created>
  <dcterms:modified xsi:type="dcterms:W3CDTF">2021-12-17T08:16:00Z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